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E1" w:rsidRDefault="00BE1FE1">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霸州市信安镇人民政府</w:t>
      </w:r>
      <w:r>
        <w:rPr>
          <w:rFonts w:ascii="方正小标宋简体" w:eastAsia="方正小标宋简体" w:hAnsi="Times New Roman"/>
          <w:sz w:val="44"/>
          <w:szCs w:val="44"/>
        </w:rPr>
        <w:t>2018</w:t>
      </w:r>
      <w:r>
        <w:rPr>
          <w:rFonts w:ascii="方正小标宋简体" w:eastAsia="方正小标宋简体" w:hAnsi="Times New Roman" w:hint="eastAsia"/>
          <w:sz w:val="44"/>
          <w:szCs w:val="44"/>
        </w:rPr>
        <w:t>年部门预算信息公开</w:t>
      </w:r>
    </w:p>
    <w:p w:rsidR="00BE1FE1" w:rsidRDefault="00BE1FE1" w:rsidP="005579D5">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按照《预算法》、《地方预决算公开操作规程》和《河北省省级预算公开办法》规定，现将霸州市信安镇人民政府</w:t>
      </w:r>
      <w:r>
        <w:rPr>
          <w:rFonts w:ascii="仿宋_GB2312" w:eastAsia="仿宋_GB2312" w:hAnsi="Times New Roman"/>
          <w:sz w:val="32"/>
          <w:szCs w:val="32"/>
        </w:rPr>
        <w:t>2018</w:t>
      </w:r>
      <w:r>
        <w:rPr>
          <w:rFonts w:ascii="仿宋_GB2312" w:eastAsia="仿宋_GB2312" w:hAnsi="Times New Roman" w:hint="eastAsia"/>
          <w:sz w:val="32"/>
          <w:szCs w:val="32"/>
        </w:rPr>
        <w:t>年部门预算公开如下：</w:t>
      </w:r>
    </w:p>
    <w:p w:rsidR="00BE1FE1" w:rsidRDefault="00BE1FE1" w:rsidP="005579D5">
      <w:pPr>
        <w:ind w:firstLineChars="200" w:firstLine="640"/>
        <w:rPr>
          <w:rFonts w:ascii="黑体" w:eastAsia="黑体" w:hAnsi="黑体"/>
          <w:sz w:val="32"/>
          <w:szCs w:val="32"/>
        </w:rPr>
      </w:pPr>
      <w:r>
        <w:rPr>
          <w:rFonts w:ascii="黑体" w:eastAsia="黑体" w:hAnsi="黑体" w:hint="eastAsia"/>
          <w:sz w:val="32"/>
          <w:szCs w:val="32"/>
        </w:rPr>
        <w:t>一、部门职责及机构设置情况</w:t>
      </w:r>
    </w:p>
    <w:p w:rsidR="00BE1FE1" w:rsidRDefault="00BE1FE1" w:rsidP="005579D5">
      <w:pPr>
        <w:ind w:firstLineChars="200" w:firstLine="643"/>
        <w:rPr>
          <w:rFonts w:ascii="楷体" w:eastAsia="楷体" w:hAnsi="楷体"/>
          <w:b/>
          <w:sz w:val="32"/>
          <w:szCs w:val="32"/>
        </w:rPr>
      </w:pPr>
      <w:r>
        <w:rPr>
          <w:rFonts w:ascii="楷体" w:eastAsia="楷体" w:hAnsi="楷体" w:hint="eastAsia"/>
          <w:b/>
          <w:sz w:val="32"/>
          <w:szCs w:val="32"/>
        </w:rPr>
        <w:t>部门职责：</w:t>
      </w:r>
    </w:p>
    <w:p w:rsidR="00BE1FE1" w:rsidRDefault="00BE1FE1">
      <w:pPr>
        <w:numPr>
          <w:ilvl w:val="0"/>
          <w:numId w:val="1"/>
        </w:numPr>
        <w:spacing w:line="500" w:lineRule="exact"/>
        <w:ind w:firstLine="560"/>
        <w:rPr>
          <w:rFonts w:ascii="仿宋_GB2312" w:eastAsia="仿宋_GB2312" w:hAnsi="仿宋"/>
          <w:sz w:val="32"/>
          <w:szCs w:val="32"/>
        </w:rPr>
      </w:pPr>
      <w:r>
        <w:rPr>
          <w:rFonts w:ascii="仿宋_GB2312" w:eastAsia="仿宋_GB2312" w:hAnsi="仿宋" w:hint="eastAsia"/>
          <w:sz w:val="32"/>
          <w:szCs w:val="32"/>
        </w:rPr>
        <w:t>负责贯彻执行党的路线、方针、政策和上级党委及本级党代会、人代会的决议。</w:t>
      </w:r>
    </w:p>
    <w:p w:rsidR="00BE1FE1" w:rsidRDefault="00BE1FE1">
      <w:pPr>
        <w:numPr>
          <w:ilvl w:val="0"/>
          <w:numId w:val="1"/>
        </w:numPr>
        <w:spacing w:line="500" w:lineRule="exact"/>
        <w:ind w:firstLine="560"/>
        <w:rPr>
          <w:rFonts w:ascii="仿宋_GB2312" w:eastAsia="仿宋_GB2312" w:hAnsi="仿宋"/>
          <w:sz w:val="32"/>
          <w:szCs w:val="32"/>
        </w:rPr>
      </w:pPr>
      <w:r>
        <w:rPr>
          <w:rFonts w:ascii="仿宋_GB2312" w:eastAsia="仿宋_GB2312" w:hAnsi="仿宋" w:hint="eastAsia"/>
          <w:sz w:val="32"/>
          <w:szCs w:val="32"/>
        </w:rPr>
        <w:t>讨论决定本镇经济建设和社会发展的重大问题。须由镇政权机关或集体经济组织决定的问题由镇政权机关或集体经济组织依照法律和有关规定作出决定。</w:t>
      </w:r>
    </w:p>
    <w:p w:rsidR="00BE1FE1" w:rsidRDefault="00BE1FE1">
      <w:pPr>
        <w:numPr>
          <w:ilvl w:val="0"/>
          <w:numId w:val="1"/>
        </w:numPr>
        <w:spacing w:line="500" w:lineRule="exact"/>
        <w:ind w:firstLine="560"/>
        <w:rPr>
          <w:rFonts w:ascii="仿宋_GB2312" w:eastAsia="仿宋_GB2312" w:hAnsi="仿宋"/>
          <w:sz w:val="32"/>
          <w:szCs w:val="32"/>
        </w:rPr>
      </w:pPr>
      <w:r>
        <w:rPr>
          <w:rFonts w:ascii="仿宋_GB2312" w:eastAsia="仿宋_GB2312" w:hAnsi="仿宋" w:hint="eastAsia"/>
          <w:sz w:val="32"/>
          <w:szCs w:val="32"/>
        </w:rPr>
        <w:t>领导镇政权机关和群团组织，支持和保证这些机关、组织依照国家法律法规及各自章程充分行使职权。</w:t>
      </w:r>
    </w:p>
    <w:p w:rsidR="00BE1FE1" w:rsidRDefault="00BE1FE1">
      <w:pPr>
        <w:numPr>
          <w:ilvl w:val="0"/>
          <w:numId w:val="1"/>
        </w:numPr>
        <w:spacing w:line="500" w:lineRule="exact"/>
        <w:ind w:firstLine="560"/>
        <w:rPr>
          <w:rFonts w:ascii="仿宋_GB2312" w:eastAsia="仿宋_GB2312" w:hAnsi="仿宋"/>
          <w:sz w:val="32"/>
          <w:szCs w:val="32"/>
        </w:rPr>
      </w:pPr>
      <w:r>
        <w:rPr>
          <w:rFonts w:ascii="仿宋_GB2312" w:eastAsia="仿宋_GB2312" w:hAnsi="仿宋" w:hint="eastAsia"/>
          <w:sz w:val="32"/>
          <w:szCs w:val="32"/>
        </w:rPr>
        <w:t>加强镇党委自身建设和以党支部为核心的村级组织建设。</w:t>
      </w:r>
    </w:p>
    <w:p w:rsidR="00BE1FE1" w:rsidRDefault="00BE1FE1">
      <w:pPr>
        <w:numPr>
          <w:ilvl w:val="0"/>
          <w:numId w:val="1"/>
        </w:numPr>
        <w:spacing w:line="500" w:lineRule="exact"/>
        <w:ind w:firstLine="560"/>
        <w:rPr>
          <w:rFonts w:ascii="仿宋_GB2312" w:eastAsia="仿宋_GB2312" w:hAnsi="仿宋"/>
          <w:sz w:val="32"/>
          <w:szCs w:val="32"/>
        </w:rPr>
      </w:pPr>
      <w:r>
        <w:rPr>
          <w:rFonts w:ascii="仿宋_GB2312" w:eastAsia="仿宋_GB2312" w:hAnsi="仿宋" w:hint="eastAsia"/>
          <w:sz w:val="32"/>
          <w:szCs w:val="32"/>
        </w:rPr>
        <w:t>按照干部管理权限，负责对干部的教育、培养、选拔、考核和监督工作。</w:t>
      </w:r>
    </w:p>
    <w:p w:rsidR="00BE1FE1" w:rsidRDefault="00BE1FE1">
      <w:pPr>
        <w:numPr>
          <w:ilvl w:val="0"/>
          <w:numId w:val="1"/>
        </w:numPr>
        <w:spacing w:line="500" w:lineRule="exact"/>
        <w:ind w:firstLine="560"/>
        <w:rPr>
          <w:rFonts w:ascii="仿宋_GB2312" w:eastAsia="仿宋_GB2312" w:hAnsi="仿宋"/>
          <w:sz w:val="32"/>
          <w:szCs w:val="32"/>
        </w:rPr>
      </w:pPr>
      <w:r>
        <w:rPr>
          <w:rFonts w:ascii="仿宋_GB2312" w:eastAsia="仿宋_GB2312" w:hAnsi="仿宋" w:hint="eastAsia"/>
          <w:sz w:val="32"/>
          <w:szCs w:val="32"/>
        </w:rPr>
        <w:t>领导本镇的社会主义民主法制建设、精神文明建设、社会治安综合治理和计划生育等工作。</w:t>
      </w:r>
    </w:p>
    <w:p w:rsidR="00BE1FE1" w:rsidRDefault="00BE1FE1">
      <w:pPr>
        <w:numPr>
          <w:ilvl w:val="0"/>
          <w:numId w:val="1"/>
        </w:numPr>
        <w:spacing w:line="500" w:lineRule="exact"/>
        <w:ind w:firstLine="560"/>
        <w:rPr>
          <w:rFonts w:ascii="仿宋_GB2312" w:eastAsia="仿宋_GB2312" w:hAnsi="仿宋"/>
          <w:sz w:val="32"/>
          <w:szCs w:val="32"/>
        </w:rPr>
      </w:pPr>
      <w:r>
        <w:rPr>
          <w:rFonts w:ascii="仿宋_GB2312" w:eastAsia="仿宋_GB2312" w:hAnsi="仿宋" w:hint="eastAsia"/>
          <w:sz w:val="32"/>
          <w:szCs w:val="32"/>
        </w:rPr>
        <w:t>编制和执行本镇国民经济和社会发展计划，编制并执行财政预算，管理本行政区域经济和各项社会事业的行政工作。</w:t>
      </w:r>
      <w:r>
        <w:rPr>
          <w:rFonts w:ascii="仿宋_GB2312" w:eastAsia="仿宋_GB2312" w:hAnsi="仿宋"/>
          <w:sz w:val="32"/>
          <w:szCs w:val="32"/>
        </w:rPr>
        <w:t>.</w:t>
      </w:r>
    </w:p>
    <w:p w:rsidR="00BE1FE1" w:rsidRDefault="00BE1FE1">
      <w:pPr>
        <w:numPr>
          <w:ilvl w:val="0"/>
          <w:numId w:val="1"/>
        </w:numPr>
        <w:spacing w:line="500" w:lineRule="exact"/>
        <w:ind w:firstLine="560"/>
        <w:rPr>
          <w:rFonts w:ascii="仿宋_GB2312" w:eastAsia="仿宋_GB2312" w:hAnsi="仿宋"/>
          <w:sz w:val="32"/>
          <w:szCs w:val="32"/>
        </w:rPr>
      </w:pPr>
      <w:r>
        <w:rPr>
          <w:rFonts w:ascii="仿宋_GB2312" w:eastAsia="仿宋_GB2312" w:hAnsi="仿宋" w:hint="eastAsia"/>
          <w:sz w:val="32"/>
          <w:szCs w:val="32"/>
        </w:rPr>
        <w:t>负责辖区内行政执法工作，维护社会秩序，保护公民人身、民主、财产等合法权利，保护各种经济组织的合法权益。</w:t>
      </w:r>
    </w:p>
    <w:p w:rsidR="00BE1FE1" w:rsidRDefault="00BE1FE1">
      <w:pPr>
        <w:numPr>
          <w:ilvl w:val="0"/>
          <w:numId w:val="1"/>
        </w:numPr>
        <w:spacing w:line="500" w:lineRule="exact"/>
        <w:ind w:firstLine="560"/>
        <w:rPr>
          <w:rFonts w:ascii="仿宋_GB2312" w:eastAsia="仿宋_GB2312" w:hAnsi="仿宋"/>
          <w:sz w:val="32"/>
          <w:szCs w:val="32"/>
        </w:rPr>
      </w:pPr>
      <w:r>
        <w:rPr>
          <w:rFonts w:ascii="仿宋_GB2312" w:eastAsia="仿宋_GB2312" w:hAnsi="仿宋" w:hint="eastAsia"/>
          <w:sz w:val="32"/>
          <w:szCs w:val="32"/>
        </w:rPr>
        <w:lastRenderedPageBreak/>
        <w:t>指导、支持和帮助村民委员会工作。</w:t>
      </w:r>
    </w:p>
    <w:p w:rsidR="00BE1FE1" w:rsidRDefault="00BE1FE1" w:rsidP="005579D5">
      <w:pPr>
        <w:ind w:firstLineChars="150" w:firstLine="480"/>
        <w:rPr>
          <w:rFonts w:ascii="仿宋_GB2312" w:eastAsia="仿宋_GB2312" w:hAnsi="Times New Roman"/>
          <w:color w:val="FF0000"/>
          <w:sz w:val="32"/>
          <w:szCs w:val="32"/>
        </w:rPr>
      </w:pPr>
      <w:r>
        <w:rPr>
          <w:rFonts w:ascii="仿宋_GB2312" w:eastAsia="仿宋_GB2312" w:hAnsi="仿宋" w:hint="eastAsia"/>
          <w:sz w:val="32"/>
          <w:szCs w:val="32"/>
        </w:rPr>
        <w:t>（十）法律规定的其它职责。</w:t>
      </w:r>
      <w:r>
        <w:rPr>
          <w:rFonts w:ascii="仿宋_GB2312" w:eastAsia="仿宋_GB2312" w:hAnsi="仿宋"/>
          <w:sz w:val="28"/>
        </w:rPr>
        <w:t xml:space="preserve">      </w:t>
      </w:r>
      <w:r>
        <w:rPr>
          <w:rFonts w:ascii="仿宋_GB2312" w:eastAsia="仿宋_GB2312"/>
          <w:sz w:val="28"/>
        </w:rPr>
        <w:t xml:space="preserve">    </w:t>
      </w:r>
    </w:p>
    <w:p w:rsidR="00BE1FE1" w:rsidRDefault="00BE1FE1" w:rsidP="005579D5">
      <w:pPr>
        <w:autoSpaceDE w:val="0"/>
        <w:autoSpaceDN w:val="0"/>
        <w:adjustRightInd w:val="0"/>
        <w:ind w:firstLineChars="200" w:firstLine="643"/>
        <w:jc w:val="left"/>
        <w:rPr>
          <w:rFonts w:ascii="楷体" w:eastAsia="楷体" w:hAnsi="楷体"/>
          <w:b/>
          <w:sz w:val="32"/>
          <w:szCs w:val="32"/>
        </w:rPr>
      </w:pPr>
      <w:r>
        <w:rPr>
          <w:rFonts w:ascii="楷体" w:eastAsia="楷体" w:hAnsi="楷体" w:hint="eastAsia"/>
          <w:b/>
          <w:sz w:val="32"/>
          <w:szCs w:val="32"/>
        </w:rPr>
        <w:t>机构设置：</w:t>
      </w:r>
    </w:p>
    <w:p w:rsidR="00BE1FE1" w:rsidRDefault="00BE1FE1">
      <w:pPr>
        <w:jc w:val="center"/>
        <w:outlineLvl w:val="0"/>
        <w:rPr>
          <w:rFonts w:ascii="仿宋" w:eastAsia="仿宋" w:hAnsi="仿宋"/>
          <w:sz w:val="32"/>
          <w:szCs w:val="24"/>
        </w:rPr>
      </w:pPr>
      <w:r>
        <w:rPr>
          <w:rFonts w:ascii="仿宋" w:eastAsia="仿宋" w:hAnsi="仿宋" w:hint="eastAsia"/>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11"/>
        <w:gridCol w:w="1866"/>
        <w:gridCol w:w="1536"/>
        <w:gridCol w:w="2642"/>
      </w:tblGrid>
      <w:tr w:rsidR="00BE1FE1">
        <w:trPr>
          <w:trHeight w:val="300"/>
          <w:tblHeader/>
          <w:jc w:val="center"/>
        </w:trPr>
        <w:tc>
          <w:tcPr>
            <w:tcW w:w="3711" w:type="dxa"/>
            <w:vMerge w:val="restart"/>
            <w:vAlign w:val="center"/>
          </w:tcPr>
          <w:p w:rsidR="00BE1FE1" w:rsidRDefault="00BE1FE1">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单位名称</w:t>
            </w:r>
          </w:p>
        </w:tc>
        <w:tc>
          <w:tcPr>
            <w:tcW w:w="1866" w:type="dxa"/>
            <w:vMerge w:val="restart"/>
            <w:vAlign w:val="center"/>
          </w:tcPr>
          <w:p w:rsidR="00BE1FE1" w:rsidRDefault="00BE1FE1">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单位性质</w:t>
            </w:r>
          </w:p>
        </w:tc>
        <w:tc>
          <w:tcPr>
            <w:tcW w:w="1536" w:type="dxa"/>
            <w:vMerge w:val="restart"/>
            <w:vAlign w:val="center"/>
          </w:tcPr>
          <w:p w:rsidR="00BE1FE1" w:rsidRDefault="00BE1FE1">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单位规格</w:t>
            </w:r>
          </w:p>
        </w:tc>
        <w:tc>
          <w:tcPr>
            <w:tcW w:w="2642" w:type="dxa"/>
            <w:vMerge w:val="restart"/>
            <w:vAlign w:val="center"/>
          </w:tcPr>
          <w:p w:rsidR="00BE1FE1" w:rsidRDefault="00BE1FE1">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经费保障形式</w:t>
            </w:r>
          </w:p>
        </w:tc>
      </w:tr>
      <w:tr w:rsidR="00BE1FE1">
        <w:trPr>
          <w:trHeight w:val="300"/>
          <w:tblHeader/>
          <w:jc w:val="center"/>
        </w:trPr>
        <w:tc>
          <w:tcPr>
            <w:tcW w:w="3711" w:type="dxa"/>
            <w:vMerge/>
            <w:vAlign w:val="center"/>
          </w:tcPr>
          <w:p w:rsidR="00BE1FE1" w:rsidRDefault="00BE1FE1">
            <w:pPr>
              <w:spacing w:line="300" w:lineRule="exact"/>
              <w:jc w:val="left"/>
              <w:outlineLvl w:val="0"/>
              <w:rPr>
                <w:rFonts w:ascii="Times New Roman" w:hAnsi="Times New Roman"/>
                <w:szCs w:val="24"/>
              </w:rPr>
            </w:pPr>
          </w:p>
        </w:tc>
        <w:tc>
          <w:tcPr>
            <w:tcW w:w="1866" w:type="dxa"/>
            <w:vMerge/>
            <w:vAlign w:val="center"/>
          </w:tcPr>
          <w:p w:rsidR="00BE1FE1" w:rsidRDefault="00BE1FE1">
            <w:pPr>
              <w:spacing w:line="300" w:lineRule="exact"/>
              <w:jc w:val="left"/>
              <w:outlineLvl w:val="0"/>
              <w:rPr>
                <w:rFonts w:ascii="Times New Roman" w:hAnsi="Times New Roman"/>
                <w:szCs w:val="24"/>
              </w:rPr>
            </w:pPr>
          </w:p>
        </w:tc>
        <w:tc>
          <w:tcPr>
            <w:tcW w:w="1536" w:type="dxa"/>
            <w:vMerge/>
            <w:vAlign w:val="center"/>
          </w:tcPr>
          <w:p w:rsidR="00BE1FE1" w:rsidRDefault="00BE1FE1">
            <w:pPr>
              <w:spacing w:line="300" w:lineRule="exact"/>
              <w:jc w:val="left"/>
              <w:outlineLvl w:val="0"/>
              <w:rPr>
                <w:rFonts w:ascii="Times New Roman" w:hAnsi="Times New Roman"/>
                <w:szCs w:val="24"/>
              </w:rPr>
            </w:pPr>
          </w:p>
        </w:tc>
        <w:tc>
          <w:tcPr>
            <w:tcW w:w="2642" w:type="dxa"/>
            <w:vMerge/>
            <w:vAlign w:val="center"/>
          </w:tcPr>
          <w:p w:rsidR="00BE1FE1" w:rsidRDefault="00BE1FE1">
            <w:pPr>
              <w:spacing w:line="300" w:lineRule="exact"/>
              <w:jc w:val="left"/>
              <w:outlineLvl w:val="0"/>
              <w:rPr>
                <w:rFonts w:ascii="Times New Roman" w:hAnsi="Times New Roman"/>
                <w:szCs w:val="24"/>
              </w:rPr>
            </w:pPr>
          </w:p>
        </w:tc>
      </w:tr>
      <w:tr w:rsidR="00BE1FE1">
        <w:trPr>
          <w:trHeight w:val="227"/>
          <w:jc w:val="center"/>
        </w:trPr>
        <w:tc>
          <w:tcPr>
            <w:tcW w:w="3711" w:type="dxa"/>
            <w:vAlign w:val="center"/>
          </w:tcPr>
          <w:p w:rsidR="00BE1FE1" w:rsidRDefault="00BE1FE1">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霸州市信安镇人民政府</w:t>
            </w:r>
          </w:p>
        </w:tc>
        <w:tc>
          <w:tcPr>
            <w:tcW w:w="1866" w:type="dxa"/>
            <w:vAlign w:val="center"/>
          </w:tcPr>
          <w:p w:rsidR="00BE1FE1" w:rsidRDefault="00BE1FE1">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行政</w:t>
            </w:r>
          </w:p>
        </w:tc>
        <w:tc>
          <w:tcPr>
            <w:tcW w:w="1536" w:type="dxa"/>
            <w:vAlign w:val="center"/>
          </w:tcPr>
          <w:p w:rsidR="00BE1FE1" w:rsidRDefault="005A68BF">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正</w:t>
            </w:r>
            <w:bookmarkStart w:id="0" w:name="_GoBack"/>
            <w:bookmarkEnd w:id="0"/>
            <w:r w:rsidR="00BE1FE1">
              <w:rPr>
                <w:rFonts w:ascii="Times New Roman" w:eastAsia="方正书宋_GBK" w:hAnsi="Times New Roman" w:hint="eastAsia"/>
                <w:szCs w:val="24"/>
              </w:rPr>
              <w:t>科级</w:t>
            </w:r>
          </w:p>
        </w:tc>
        <w:tc>
          <w:tcPr>
            <w:tcW w:w="2642" w:type="dxa"/>
            <w:vAlign w:val="center"/>
          </w:tcPr>
          <w:p w:rsidR="00BE1FE1" w:rsidRDefault="00BE1FE1">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财政拨款</w:t>
            </w:r>
          </w:p>
        </w:tc>
      </w:tr>
    </w:tbl>
    <w:p w:rsidR="00BE1FE1" w:rsidRDefault="00BE1FE1" w:rsidP="00BE1FE1">
      <w:pPr>
        <w:ind w:firstLineChars="200" w:firstLine="640"/>
        <w:rPr>
          <w:rFonts w:ascii="黑体" w:eastAsia="黑体" w:hAnsi="黑体"/>
          <w:sz w:val="32"/>
          <w:szCs w:val="32"/>
        </w:rPr>
      </w:pPr>
      <w:r>
        <w:rPr>
          <w:rFonts w:ascii="黑体" w:eastAsia="黑体" w:hAnsi="黑体" w:hint="eastAsia"/>
          <w:sz w:val="32"/>
          <w:szCs w:val="32"/>
        </w:rPr>
        <w:t>二、部门预算安排的总体情况</w:t>
      </w:r>
    </w:p>
    <w:p w:rsidR="00BE1FE1" w:rsidRDefault="00BE1FE1">
      <w:pPr>
        <w:ind w:firstLine="640"/>
        <w:rPr>
          <w:rFonts w:ascii="仿宋_GB2312" w:eastAsia="仿宋_GB2312" w:hAnsi="Times New Roman"/>
          <w:sz w:val="32"/>
          <w:szCs w:val="32"/>
        </w:rPr>
      </w:pPr>
      <w:r>
        <w:rPr>
          <w:rFonts w:ascii="仿宋_GB2312" w:eastAsia="仿宋_GB2312" w:hAnsi="Times New Roman" w:hint="eastAsia"/>
          <w:sz w:val="32"/>
          <w:szCs w:val="32"/>
        </w:rPr>
        <w:t>按照预算管理有关规定，目前我市部门预算的编制实行综合预算制度，即全部收入和支出都反映在预算中。</w:t>
      </w:r>
    </w:p>
    <w:p w:rsidR="00BE1FE1" w:rsidRDefault="00BE1FE1">
      <w:pPr>
        <w:ind w:firstLine="640"/>
        <w:rPr>
          <w:rFonts w:ascii="楷体" w:eastAsia="楷体" w:hAnsi="楷体"/>
          <w:b/>
          <w:sz w:val="32"/>
          <w:szCs w:val="32"/>
        </w:rPr>
      </w:pPr>
      <w:r>
        <w:rPr>
          <w:rFonts w:ascii="楷体" w:eastAsia="楷体" w:hAnsi="楷体"/>
          <w:b/>
          <w:sz w:val="32"/>
          <w:szCs w:val="32"/>
        </w:rPr>
        <w:t>1</w:t>
      </w:r>
      <w:r>
        <w:rPr>
          <w:rFonts w:ascii="楷体" w:eastAsia="楷体" w:hAnsi="楷体" w:hint="eastAsia"/>
          <w:b/>
          <w:sz w:val="32"/>
          <w:szCs w:val="32"/>
        </w:rPr>
        <w:t>、收入说明</w:t>
      </w:r>
    </w:p>
    <w:p w:rsidR="00BE1FE1" w:rsidRDefault="00BE1FE1" w:rsidP="005579D5">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反映本部门当年全部收入。</w:t>
      </w:r>
      <w:r>
        <w:rPr>
          <w:rFonts w:ascii="仿宋_GB2312" w:eastAsia="仿宋_GB2312" w:hAnsi="Times New Roman"/>
          <w:sz w:val="32"/>
          <w:szCs w:val="32"/>
        </w:rPr>
        <w:t>2018</w:t>
      </w:r>
      <w:r>
        <w:rPr>
          <w:rFonts w:ascii="仿宋_GB2312" w:eastAsia="仿宋_GB2312" w:hAnsi="Times New Roman" w:hint="eastAsia"/>
          <w:sz w:val="32"/>
          <w:szCs w:val="32"/>
        </w:rPr>
        <w:t>年预算收入</w:t>
      </w:r>
      <w:r>
        <w:rPr>
          <w:rFonts w:ascii="仿宋_GB2312" w:eastAsia="仿宋_GB2312" w:hAnsi="Times New Roman"/>
          <w:sz w:val="32"/>
          <w:szCs w:val="32"/>
        </w:rPr>
        <w:t>4299.96</w:t>
      </w:r>
      <w:r>
        <w:rPr>
          <w:rFonts w:ascii="仿宋_GB2312" w:eastAsia="仿宋_GB2312" w:hAnsi="Times New Roman" w:hint="eastAsia"/>
          <w:sz w:val="32"/>
          <w:szCs w:val="32"/>
        </w:rPr>
        <w:t>万元，其中：一般公共预算收入</w:t>
      </w:r>
      <w:r>
        <w:rPr>
          <w:rFonts w:ascii="仿宋_GB2312" w:eastAsia="仿宋_GB2312" w:hAnsi="Times New Roman"/>
          <w:sz w:val="32"/>
          <w:szCs w:val="32"/>
        </w:rPr>
        <w:t>1707.3</w:t>
      </w:r>
      <w:r>
        <w:rPr>
          <w:rFonts w:ascii="仿宋_GB2312" w:eastAsia="仿宋_GB2312" w:hAnsi="Times New Roman" w:hint="eastAsia"/>
          <w:sz w:val="32"/>
          <w:szCs w:val="32"/>
        </w:rPr>
        <w:t>万元，政府性基金预算收入</w:t>
      </w:r>
      <w:r>
        <w:rPr>
          <w:rFonts w:ascii="仿宋_GB2312" w:eastAsia="仿宋_GB2312" w:hAnsi="Times New Roman"/>
          <w:sz w:val="32"/>
          <w:szCs w:val="32"/>
        </w:rPr>
        <w:t>2592.66</w:t>
      </w:r>
      <w:r>
        <w:rPr>
          <w:rFonts w:ascii="仿宋_GB2312" w:eastAsia="仿宋_GB2312" w:hAnsi="Times New Roman" w:hint="eastAsia"/>
          <w:sz w:val="32"/>
          <w:szCs w:val="32"/>
        </w:rPr>
        <w:t>万元，国有资本经营预算收入</w:t>
      </w:r>
      <w:r>
        <w:rPr>
          <w:rFonts w:ascii="仿宋_GB2312" w:eastAsia="仿宋_GB2312" w:hAnsi="Times New Roman"/>
          <w:sz w:val="32"/>
          <w:szCs w:val="32"/>
        </w:rPr>
        <w:t>0</w:t>
      </w:r>
      <w:r>
        <w:rPr>
          <w:rFonts w:ascii="仿宋_GB2312" w:eastAsia="仿宋_GB2312" w:hAnsi="Times New Roman" w:hint="eastAsia"/>
          <w:sz w:val="32"/>
          <w:szCs w:val="32"/>
        </w:rPr>
        <w:t>万元，上级补助收入</w:t>
      </w:r>
      <w:r>
        <w:rPr>
          <w:rFonts w:ascii="仿宋_GB2312" w:eastAsia="仿宋_GB2312" w:hAnsi="Times New Roman"/>
          <w:sz w:val="32"/>
          <w:szCs w:val="32"/>
        </w:rPr>
        <w:t>0</w:t>
      </w:r>
      <w:r>
        <w:rPr>
          <w:rFonts w:ascii="仿宋_GB2312" w:eastAsia="仿宋_GB2312" w:hAnsi="Times New Roman" w:hint="eastAsia"/>
          <w:sz w:val="32"/>
          <w:szCs w:val="32"/>
        </w:rPr>
        <w:t>万元，事业收入</w:t>
      </w:r>
      <w:r>
        <w:rPr>
          <w:rFonts w:ascii="仿宋_GB2312" w:eastAsia="仿宋_GB2312" w:hAnsi="Times New Roman"/>
          <w:sz w:val="32"/>
          <w:szCs w:val="32"/>
        </w:rPr>
        <w:t>0</w:t>
      </w:r>
      <w:r>
        <w:rPr>
          <w:rFonts w:ascii="仿宋_GB2312" w:eastAsia="仿宋_GB2312" w:hAnsi="Times New Roman" w:hint="eastAsia"/>
          <w:sz w:val="32"/>
          <w:szCs w:val="32"/>
        </w:rPr>
        <w:t>万元，经营收入</w:t>
      </w:r>
      <w:r>
        <w:rPr>
          <w:rFonts w:ascii="仿宋_GB2312" w:eastAsia="仿宋_GB2312" w:hAnsi="Times New Roman"/>
          <w:sz w:val="32"/>
          <w:szCs w:val="32"/>
        </w:rPr>
        <w:t>0</w:t>
      </w:r>
      <w:r>
        <w:rPr>
          <w:rFonts w:ascii="仿宋_GB2312" w:eastAsia="仿宋_GB2312" w:hAnsi="Times New Roman" w:hint="eastAsia"/>
          <w:sz w:val="32"/>
          <w:szCs w:val="32"/>
        </w:rPr>
        <w:t>万元，附属单位上缴收入</w:t>
      </w:r>
      <w:r>
        <w:rPr>
          <w:rFonts w:ascii="仿宋_GB2312" w:eastAsia="仿宋_GB2312" w:hAnsi="Times New Roman"/>
          <w:sz w:val="32"/>
          <w:szCs w:val="32"/>
        </w:rPr>
        <w:t>0</w:t>
      </w:r>
      <w:r>
        <w:rPr>
          <w:rFonts w:ascii="仿宋_GB2312" w:eastAsia="仿宋_GB2312" w:hAnsi="Times New Roman" w:hint="eastAsia"/>
          <w:sz w:val="32"/>
          <w:szCs w:val="32"/>
        </w:rPr>
        <w:t>万元，其他收入</w:t>
      </w:r>
      <w:r>
        <w:rPr>
          <w:rFonts w:ascii="仿宋_GB2312" w:eastAsia="仿宋_GB2312" w:hAnsi="Times New Roman"/>
          <w:sz w:val="32"/>
          <w:szCs w:val="32"/>
        </w:rPr>
        <w:t>0</w:t>
      </w:r>
      <w:r>
        <w:rPr>
          <w:rFonts w:ascii="仿宋_GB2312" w:eastAsia="仿宋_GB2312" w:hAnsi="Times New Roman" w:hint="eastAsia"/>
          <w:sz w:val="32"/>
          <w:szCs w:val="32"/>
        </w:rPr>
        <w:t>万元。</w:t>
      </w:r>
    </w:p>
    <w:p w:rsidR="00BE1FE1" w:rsidRDefault="00BE1FE1">
      <w:pPr>
        <w:ind w:firstLine="640"/>
        <w:rPr>
          <w:rFonts w:ascii="楷体" w:eastAsia="楷体" w:hAnsi="楷体"/>
          <w:b/>
          <w:sz w:val="32"/>
          <w:szCs w:val="32"/>
        </w:rPr>
      </w:pPr>
      <w:r>
        <w:rPr>
          <w:rFonts w:ascii="楷体" w:eastAsia="楷体" w:hAnsi="楷体"/>
          <w:b/>
          <w:sz w:val="32"/>
          <w:szCs w:val="32"/>
        </w:rPr>
        <w:t>2</w:t>
      </w:r>
      <w:r>
        <w:rPr>
          <w:rFonts w:ascii="楷体" w:eastAsia="楷体" w:hAnsi="楷体" w:hint="eastAsia"/>
          <w:b/>
          <w:sz w:val="32"/>
          <w:szCs w:val="32"/>
        </w:rPr>
        <w:t>、支出说明</w:t>
      </w:r>
    </w:p>
    <w:p w:rsidR="00BE1FE1" w:rsidRDefault="00BE1FE1">
      <w:pPr>
        <w:ind w:firstLine="640"/>
        <w:rPr>
          <w:rFonts w:ascii="仿宋_GB2312" w:eastAsia="仿宋_GB2312" w:hAnsi="Times New Roman"/>
          <w:sz w:val="32"/>
          <w:szCs w:val="32"/>
        </w:rPr>
      </w:pPr>
      <w:r>
        <w:rPr>
          <w:rFonts w:ascii="仿宋_GB2312" w:eastAsia="仿宋_GB2312" w:hAnsi="Times New Roman" w:hint="eastAsia"/>
          <w:sz w:val="32"/>
          <w:szCs w:val="32"/>
        </w:rPr>
        <w:t>收支预算总表支出栏、基本支出表、项目支出表按经济分类和支出功能分类科目编制，反映霸州市信安镇人民政府</w:t>
      </w:r>
      <w:r>
        <w:rPr>
          <w:rFonts w:ascii="仿宋_GB2312" w:eastAsia="仿宋_GB2312" w:hAnsi="Times New Roman"/>
          <w:sz w:val="32"/>
          <w:szCs w:val="32"/>
        </w:rPr>
        <w:t>2018</w:t>
      </w:r>
      <w:r>
        <w:rPr>
          <w:rFonts w:ascii="仿宋_GB2312" w:eastAsia="仿宋_GB2312" w:hAnsi="Times New Roman" w:hint="eastAsia"/>
          <w:sz w:val="32"/>
          <w:szCs w:val="32"/>
        </w:rPr>
        <w:t>年度部门预算中支出预算的总体情况。</w:t>
      </w:r>
      <w:r>
        <w:rPr>
          <w:rFonts w:ascii="仿宋_GB2312" w:eastAsia="仿宋_GB2312" w:hAnsi="Times New Roman"/>
          <w:sz w:val="32"/>
          <w:szCs w:val="32"/>
        </w:rPr>
        <w:t>2018</w:t>
      </w:r>
      <w:r>
        <w:rPr>
          <w:rFonts w:ascii="仿宋_GB2312" w:eastAsia="仿宋_GB2312" w:hAnsi="Times New Roman" w:hint="eastAsia"/>
          <w:sz w:val="32"/>
          <w:szCs w:val="32"/>
        </w:rPr>
        <w:t>年本部门支出预算</w:t>
      </w:r>
      <w:r>
        <w:rPr>
          <w:rFonts w:ascii="仿宋_GB2312" w:eastAsia="仿宋_GB2312" w:hAnsi="Times New Roman"/>
          <w:sz w:val="32"/>
          <w:szCs w:val="32"/>
        </w:rPr>
        <w:t>4299.96</w:t>
      </w:r>
      <w:r>
        <w:rPr>
          <w:rFonts w:ascii="仿宋_GB2312" w:eastAsia="仿宋_GB2312" w:hAnsi="Times New Roman" w:hint="eastAsia"/>
          <w:sz w:val="32"/>
          <w:szCs w:val="32"/>
        </w:rPr>
        <w:t>万元，</w:t>
      </w:r>
      <w:r>
        <w:rPr>
          <w:rFonts w:ascii="仿宋_GB2312" w:eastAsia="仿宋_GB2312" w:hAnsi="Times New Roman" w:hint="eastAsia"/>
          <w:sz w:val="32"/>
          <w:szCs w:val="32"/>
        </w:rPr>
        <w:lastRenderedPageBreak/>
        <w:t>其中：基本支出</w:t>
      </w:r>
      <w:r>
        <w:rPr>
          <w:rFonts w:ascii="仿宋_GB2312" w:eastAsia="仿宋_GB2312" w:hAnsi="Times New Roman"/>
          <w:sz w:val="32"/>
          <w:szCs w:val="32"/>
        </w:rPr>
        <w:t>1338.42</w:t>
      </w:r>
      <w:r>
        <w:rPr>
          <w:rFonts w:ascii="仿宋_GB2312" w:eastAsia="仿宋_GB2312" w:hAnsi="Times New Roman" w:hint="eastAsia"/>
          <w:sz w:val="32"/>
          <w:szCs w:val="32"/>
        </w:rPr>
        <w:t>万元，包括：人员经费</w:t>
      </w:r>
      <w:r>
        <w:rPr>
          <w:rFonts w:ascii="仿宋_GB2312" w:eastAsia="仿宋_GB2312" w:hAnsi="Times New Roman"/>
          <w:sz w:val="32"/>
          <w:szCs w:val="32"/>
        </w:rPr>
        <w:t>1190.02</w:t>
      </w:r>
      <w:r>
        <w:rPr>
          <w:rFonts w:ascii="仿宋_GB2312" w:eastAsia="仿宋_GB2312" w:hAnsi="Times New Roman" w:hint="eastAsia"/>
          <w:sz w:val="32"/>
          <w:szCs w:val="32"/>
        </w:rPr>
        <w:t>万元和日常公用经费</w:t>
      </w:r>
      <w:r>
        <w:rPr>
          <w:rFonts w:ascii="仿宋_GB2312" w:eastAsia="仿宋_GB2312" w:hAnsi="Times New Roman"/>
          <w:sz w:val="32"/>
          <w:szCs w:val="32"/>
        </w:rPr>
        <w:t>148.4</w:t>
      </w:r>
      <w:r>
        <w:rPr>
          <w:rFonts w:ascii="仿宋_GB2312" w:eastAsia="仿宋_GB2312" w:hAnsi="Times New Roman" w:hint="eastAsia"/>
          <w:sz w:val="32"/>
          <w:szCs w:val="32"/>
        </w:rPr>
        <w:t>万元；项目支出</w:t>
      </w:r>
      <w:r>
        <w:rPr>
          <w:rFonts w:ascii="仿宋_GB2312" w:eastAsia="仿宋_GB2312" w:hAnsi="Times New Roman"/>
          <w:sz w:val="32"/>
          <w:szCs w:val="32"/>
        </w:rPr>
        <w:t>2961.54</w:t>
      </w:r>
      <w:r>
        <w:rPr>
          <w:rFonts w:ascii="仿宋_GB2312" w:eastAsia="仿宋_GB2312" w:hAnsi="Times New Roman" w:hint="eastAsia"/>
          <w:sz w:val="32"/>
          <w:szCs w:val="32"/>
        </w:rPr>
        <w:t>万元，全部为本级支出，主要为信安镇工业区排水工程、信安镇团结路排水工程、村级办公经费、垃圾清运、沟渠治理等；上缴上级支出</w:t>
      </w:r>
      <w:r>
        <w:rPr>
          <w:rFonts w:ascii="仿宋_GB2312" w:eastAsia="仿宋_GB2312" w:hAnsi="Times New Roman"/>
          <w:sz w:val="32"/>
          <w:szCs w:val="32"/>
        </w:rPr>
        <w:t>0</w:t>
      </w:r>
      <w:r>
        <w:rPr>
          <w:rFonts w:ascii="仿宋_GB2312" w:eastAsia="仿宋_GB2312" w:hAnsi="Times New Roman" w:hint="eastAsia"/>
          <w:sz w:val="32"/>
          <w:szCs w:val="32"/>
        </w:rPr>
        <w:t>万元，经营支出</w:t>
      </w:r>
      <w:r>
        <w:rPr>
          <w:rFonts w:ascii="仿宋_GB2312" w:eastAsia="仿宋_GB2312" w:hAnsi="Times New Roman"/>
          <w:sz w:val="32"/>
          <w:szCs w:val="32"/>
        </w:rPr>
        <w:t>0</w:t>
      </w:r>
      <w:r>
        <w:rPr>
          <w:rFonts w:ascii="仿宋_GB2312" w:eastAsia="仿宋_GB2312" w:hAnsi="Times New Roman" w:hint="eastAsia"/>
          <w:sz w:val="32"/>
          <w:szCs w:val="32"/>
        </w:rPr>
        <w:t>万元，对附属单位补助支出</w:t>
      </w:r>
      <w:r>
        <w:rPr>
          <w:rFonts w:ascii="仿宋_GB2312" w:eastAsia="仿宋_GB2312" w:hAnsi="Times New Roman"/>
          <w:sz w:val="32"/>
          <w:szCs w:val="32"/>
        </w:rPr>
        <w:t>0</w:t>
      </w:r>
      <w:r>
        <w:rPr>
          <w:rFonts w:ascii="仿宋_GB2312" w:eastAsia="仿宋_GB2312" w:hAnsi="Times New Roman" w:hint="eastAsia"/>
          <w:sz w:val="32"/>
          <w:szCs w:val="32"/>
        </w:rPr>
        <w:t>万元。</w:t>
      </w:r>
    </w:p>
    <w:p w:rsidR="00BE1FE1" w:rsidRDefault="00BE1FE1">
      <w:pPr>
        <w:ind w:firstLine="640"/>
        <w:rPr>
          <w:rFonts w:ascii="楷体" w:eastAsia="楷体" w:hAnsi="楷体"/>
          <w:b/>
          <w:sz w:val="32"/>
          <w:szCs w:val="32"/>
        </w:rPr>
      </w:pPr>
      <w:r>
        <w:rPr>
          <w:rFonts w:ascii="楷体" w:eastAsia="楷体" w:hAnsi="楷体"/>
          <w:b/>
          <w:sz w:val="32"/>
          <w:szCs w:val="32"/>
        </w:rPr>
        <w:t>3</w:t>
      </w:r>
      <w:r>
        <w:rPr>
          <w:rFonts w:ascii="楷体" w:eastAsia="楷体" w:hAnsi="楷体" w:hint="eastAsia"/>
          <w:b/>
          <w:sz w:val="32"/>
          <w:szCs w:val="32"/>
        </w:rPr>
        <w:t>、比上年增减情况</w:t>
      </w:r>
    </w:p>
    <w:p w:rsidR="00BE1FE1" w:rsidRDefault="00BE1FE1">
      <w:pPr>
        <w:ind w:firstLine="640"/>
        <w:rPr>
          <w:rFonts w:ascii="仿宋_GB2312" w:eastAsia="仿宋_GB2312" w:hAnsi="黑体"/>
          <w:color w:val="000000"/>
          <w:sz w:val="32"/>
          <w:szCs w:val="32"/>
        </w:rPr>
      </w:pPr>
      <w:r>
        <w:rPr>
          <w:rFonts w:ascii="仿宋_GB2312" w:eastAsia="仿宋_GB2312" w:hAnsi="Times New Roman"/>
          <w:color w:val="000000"/>
          <w:sz w:val="32"/>
          <w:szCs w:val="32"/>
        </w:rPr>
        <w:t>2018</w:t>
      </w:r>
      <w:r>
        <w:rPr>
          <w:rFonts w:ascii="仿宋_GB2312" w:eastAsia="仿宋_GB2312" w:hAnsi="Times New Roman" w:hint="eastAsia"/>
          <w:color w:val="000000"/>
          <w:sz w:val="32"/>
          <w:szCs w:val="32"/>
        </w:rPr>
        <w:t>年预</w:t>
      </w:r>
      <w:r>
        <w:rPr>
          <w:rFonts w:ascii="仿宋_GB2312" w:eastAsia="仿宋_GB2312" w:hAnsi="Times New Roman" w:hint="eastAsia"/>
          <w:sz w:val="32"/>
          <w:szCs w:val="32"/>
        </w:rPr>
        <w:t>算收支安排</w:t>
      </w:r>
      <w:r>
        <w:rPr>
          <w:rFonts w:ascii="仿宋_GB2312" w:eastAsia="仿宋_GB2312" w:hAnsi="Times New Roman"/>
          <w:sz w:val="32"/>
          <w:szCs w:val="32"/>
        </w:rPr>
        <w:t>4299.96</w:t>
      </w:r>
      <w:r>
        <w:rPr>
          <w:rFonts w:ascii="仿宋_GB2312" w:eastAsia="仿宋_GB2312" w:hAnsi="Times New Roman" w:hint="eastAsia"/>
          <w:sz w:val="32"/>
          <w:szCs w:val="32"/>
        </w:rPr>
        <w:t>万元，较</w:t>
      </w:r>
      <w:r>
        <w:rPr>
          <w:rFonts w:ascii="仿宋_GB2312" w:eastAsia="仿宋_GB2312" w:hAnsi="Times New Roman"/>
          <w:sz w:val="32"/>
          <w:szCs w:val="32"/>
        </w:rPr>
        <w:t>2017</w:t>
      </w:r>
      <w:r>
        <w:rPr>
          <w:rFonts w:ascii="仿宋_GB2312" w:eastAsia="仿宋_GB2312" w:hAnsi="Times New Roman" w:hint="eastAsia"/>
          <w:sz w:val="32"/>
          <w:szCs w:val="32"/>
        </w:rPr>
        <w:t>年预算增加</w:t>
      </w:r>
      <w:r>
        <w:rPr>
          <w:rFonts w:ascii="仿宋_GB2312" w:eastAsia="仿宋_GB2312" w:hAnsi="Times New Roman"/>
          <w:sz w:val="32"/>
          <w:szCs w:val="32"/>
        </w:rPr>
        <w:t>3016.35</w:t>
      </w:r>
      <w:r>
        <w:rPr>
          <w:rFonts w:ascii="仿宋_GB2312" w:eastAsia="仿宋_GB2312" w:hAnsi="Times New Roman" w:hint="eastAsia"/>
          <w:sz w:val="32"/>
          <w:szCs w:val="32"/>
        </w:rPr>
        <w:t>万元，其中：基本支出增加</w:t>
      </w:r>
      <w:r>
        <w:rPr>
          <w:rFonts w:ascii="仿宋_GB2312" w:eastAsia="仿宋_GB2312" w:hAnsi="Times New Roman"/>
          <w:sz w:val="32"/>
          <w:szCs w:val="32"/>
        </w:rPr>
        <w:t>227.57</w:t>
      </w:r>
      <w:r>
        <w:rPr>
          <w:rFonts w:ascii="仿宋_GB2312" w:eastAsia="仿宋_GB2312" w:hAnsi="Times New Roman" w:hint="eastAsia"/>
          <w:sz w:val="32"/>
          <w:szCs w:val="32"/>
        </w:rPr>
        <w:t>万元，主要为增加人员经费支出及日常办公经费支出；项目支出增加</w:t>
      </w:r>
      <w:r>
        <w:rPr>
          <w:rFonts w:ascii="仿宋_GB2312" w:eastAsia="仿宋_GB2312" w:hAnsi="Times New Roman"/>
          <w:sz w:val="32"/>
          <w:szCs w:val="32"/>
        </w:rPr>
        <w:t>2788.78</w:t>
      </w:r>
      <w:r>
        <w:rPr>
          <w:rFonts w:ascii="仿宋_GB2312" w:eastAsia="仿宋_GB2312" w:hAnsi="Times New Roman" w:hint="eastAsia"/>
          <w:sz w:val="32"/>
          <w:szCs w:val="32"/>
        </w:rPr>
        <w:t>万元，主要为增加信安镇工业区排水工程、信安镇团结路排水工程、村级办公经费、垃圾清运、沟渠治理等</w:t>
      </w:r>
      <w:r>
        <w:rPr>
          <w:rFonts w:ascii="仿宋_GB2312" w:eastAsia="仿宋_GB2312" w:hAnsi="Times New Roman" w:hint="eastAsia"/>
          <w:color w:val="000000"/>
          <w:sz w:val="32"/>
          <w:szCs w:val="32"/>
        </w:rPr>
        <w:t>项目支出。</w:t>
      </w:r>
    </w:p>
    <w:p w:rsidR="00BE1FE1" w:rsidRDefault="00BE1FE1" w:rsidP="005579D5">
      <w:pPr>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BE1FE1" w:rsidRDefault="00BE1FE1" w:rsidP="005579D5">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机关运行经费共计安排</w:t>
      </w:r>
      <w:r>
        <w:rPr>
          <w:rFonts w:ascii="仿宋_GB2312" w:eastAsia="仿宋_GB2312" w:hAnsi="Times New Roman"/>
          <w:sz w:val="32"/>
          <w:szCs w:val="32"/>
        </w:rPr>
        <w:t>148.4</w:t>
      </w:r>
      <w:r>
        <w:rPr>
          <w:rFonts w:ascii="仿宋_GB2312" w:eastAsia="仿宋_GB2312" w:hAnsi="Times New Roman" w:hint="eastAsia"/>
          <w:sz w:val="32"/>
          <w:szCs w:val="32"/>
        </w:rPr>
        <w:t>万元，主要用于办公区的日常维修、办公用房水电费、办公用房取暖费、办公及印刷费，邮电费、差旅费、会议费、福利费、专用材料及一般设备购置费、公务用车运行维护费等日常运行支出。</w:t>
      </w:r>
    </w:p>
    <w:p w:rsidR="00BE1FE1" w:rsidRDefault="00BE1FE1" w:rsidP="005579D5">
      <w:pPr>
        <w:ind w:firstLineChars="200" w:firstLine="640"/>
        <w:rPr>
          <w:rFonts w:ascii="黑体" w:eastAsia="黑体" w:hAnsi="黑体"/>
          <w:sz w:val="32"/>
          <w:szCs w:val="32"/>
        </w:rPr>
      </w:pPr>
      <w:r>
        <w:rPr>
          <w:rFonts w:ascii="黑体" w:eastAsia="黑体" w:hAnsi="黑体" w:hint="eastAsia"/>
          <w:sz w:val="32"/>
          <w:szCs w:val="32"/>
        </w:rPr>
        <w:t>四、财政拨款“三公”经费预算情况及增减变化原因</w:t>
      </w:r>
    </w:p>
    <w:p w:rsidR="00BE1FE1" w:rsidRDefault="00BE1FE1" w:rsidP="005579D5">
      <w:pPr>
        <w:ind w:firstLineChars="200" w:firstLine="640"/>
        <w:rPr>
          <w:rFonts w:ascii="仿宋_GB2312" w:eastAsia="仿宋_GB2312" w:hAnsi="Times New Roman"/>
          <w:sz w:val="32"/>
          <w:szCs w:val="32"/>
        </w:rPr>
      </w:pPr>
      <w:r>
        <w:rPr>
          <w:rFonts w:ascii="仿宋_GB2312" w:eastAsia="仿宋_GB2312" w:hAnsi="Times New Roman"/>
          <w:sz w:val="32"/>
          <w:szCs w:val="32"/>
        </w:rPr>
        <w:t>2018</w:t>
      </w:r>
      <w:r>
        <w:rPr>
          <w:rFonts w:ascii="仿宋_GB2312" w:eastAsia="仿宋_GB2312" w:hAnsi="Times New Roman" w:hint="eastAsia"/>
          <w:sz w:val="32"/>
          <w:szCs w:val="32"/>
        </w:rPr>
        <w:t>年，我部门“三公”经费预算安排</w:t>
      </w:r>
      <w:r>
        <w:rPr>
          <w:rFonts w:ascii="仿宋_GB2312" w:eastAsia="仿宋_GB2312" w:hAnsi="Times New Roman"/>
          <w:sz w:val="32"/>
          <w:szCs w:val="32"/>
        </w:rPr>
        <w:t>8.87</w:t>
      </w:r>
      <w:r>
        <w:rPr>
          <w:rFonts w:ascii="仿宋_GB2312" w:eastAsia="仿宋_GB2312" w:hAnsi="Times New Roman" w:hint="eastAsia"/>
          <w:sz w:val="32"/>
          <w:szCs w:val="32"/>
        </w:rPr>
        <w:t>万元，其中：因公出国（境）费</w:t>
      </w:r>
      <w:r>
        <w:rPr>
          <w:rFonts w:ascii="仿宋_GB2312" w:eastAsia="仿宋_GB2312" w:hAnsi="Times New Roman"/>
          <w:sz w:val="32"/>
          <w:szCs w:val="32"/>
        </w:rPr>
        <w:t>0</w:t>
      </w:r>
      <w:r>
        <w:rPr>
          <w:rFonts w:ascii="仿宋_GB2312" w:eastAsia="仿宋_GB2312" w:hAnsi="Times New Roman" w:hint="eastAsia"/>
          <w:sz w:val="32"/>
          <w:szCs w:val="32"/>
        </w:rPr>
        <w:t>万元；公务用车购置及运维费</w:t>
      </w:r>
      <w:r>
        <w:rPr>
          <w:rFonts w:ascii="仿宋_GB2312" w:eastAsia="仿宋_GB2312" w:hAnsi="Times New Roman"/>
          <w:sz w:val="32"/>
          <w:szCs w:val="32"/>
        </w:rPr>
        <w:t>7.5</w:t>
      </w:r>
      <w:r>
        <w:rPr>
          <w:rFonts w:ascii="仿宋_GB2312" w:eastAsia="仿宋_GB2312" w:hAnsi="Times New Roman" w:hint="eastAsia"/>
          <w:sz w:val="32"/>
          <w:szCs w:val="32"/>
        </w:rPr>
        <w:t>万元（其中：公务用车购置费</w:t>
      </w:r>
      <w:r>
        <w:rPr>
          <w:rFonts w:ascii="仿宋_GB2312" w:eastAsia="仿宋_GB2312" w:hAnsi="Times New Roman"/>
          <w:sz w:val="32"/>
          <w:szCs w:val="32"/>
        </w:rPr>
        <w:t>0</w:t>
      </w:r>
      <w:r>
        <w:rPr>
          <w:rFonts w:ascii="仿宋_GB2312" w:eastAsia="仿宋_GB2312" w:hAnsi="Times New Roman" w:hint="eastAsia"/>
          <w:sz w:val="32"/>
          <w:szCs w:val="32"/>
        </w:rPr>
        <w:t>万元，公务用车运行维护费</w:t>
      </w:r>
      <w:r>
        <w:rPr>
          <w:rFonts w:ascii="仿宋_GB2312" w:eastAsia="仿宋_GB2312" w:hAnsi="Times New Roman"/>
          <w:sz w:val="32"/>
          <w:szCs w:val="32"/>
        </w:rPr>
        <w:t>7.5</w:t>
      </w:r>
      <w:r>
        <w:rPr>
          <w:rFonts w:ascii="仿宋_GB2312" w:eastAsia="仿宋_GB2312" w:hAnsi="Times New Roman" w:hint="eastAsia"/>
          <w:sz w:val="32"/>
          <w:szCs w:val="32"/>
        </w:rPr>
        <w:t>万元</w:t>
      </w:r>
      <w:r>
        <w:rPr>
          <w:rFonts w:ascii="仿宋_GB2312" w:eastAsia="仿宋_GB2312" w:hAnsi="Times New Roman"/>
          <w:sz w:val="32"/>
          <w:szCs w:val="32"/>
        </w:rPr>
        <w:t>)</w:t>
      </w:r>
      <w:r>
        <w:rPr>
          <w:rFonts w:ascii="仿宋_GB2312" w:eastAsia="仿宋_GB2312" w:hAnsi="Times New Roman" w:hint="eastAsia"/>
          <w:sz w:val="32"/>
          <w:szCs w:val="32"/>
        </w:rPr>
        <w:t>；公务接待费</w:t>
      </w:r>
      <w:r>
        <w:rPr>
          <w:rFonts w:ascii="仿宋_GB2312" w:eastAsia="仿宋_GB2312" w:hAnsi="Times New Roman"/>
          <w:sz w:val="32"/>
          <w:szCs w:val="32"/>
        </w:rPr>
        <w:t>1.37</w:t>
      </w:r>
      <w:r>
        <w:rPr>
          <w:rFonts w:ascii="仿宋_GB2312" w:eastAsia="仿宋_GB2312" w:hAnsi="Times New Roman" w:hint="eastAsia"/>
          <w:sz w:val="32"/>
          <w:szCs w:val="32"/>
        </w:rPr>
        <w:t>万元，较</w:t>
      </w:r>
      <w:r>
        <w:rPr>
          <w:rFonts w:ascii="仿宋_GB2312" w:eastAsia="仿宋_GB2312" w:hAnsi="Times New Roman"/>
          <w:sz w:val="32"/>
          <w:szCs w:val="32"/>
        </w:rPr>
        <w:t>2017</w:t>
      </w:r>
      <w:r>
        <w:rPr>
          <w:rFonts w:ascii="仿宋_GB2312" w:eastAsia="仿宋_GB2312" w:hAnsi="Times New Roman" w:hint="eastAsia"/>
          <w:sz w:val="32"/>
          <w:szCs w:val="32"/>
        </w:rPr>
        <w:t>年“三公”经费持平，</w:t>
      </w:r>
      <w:bookmarkStart w:id="1" w:name="_Hlk507422617"/>
      <w:r>
        <w:rPr>
          <w:rFonts w:ascii="仿宋_GB2312" w:eastAsia="仿宋_GB2312" w:hAnsi="Times New Roman" w:hint="eastAsia"/>
          <w:sz w:val="32"/>
          <w:szCs w:val="32"/>
        </w:rPr>
        <w:t>无增减变化。</w:t>
      </w:r>
      <w:bookmarkEnd w:id="1"/>
    </w:p>
    <w:p w:rsidR="00BE1FE1" w:rsidRDefault="00BE1FE1" w:rsidP="005579D5">
      <w:pPr>
        <w:ind w:firstLineChars="200" w:firstLine="640"/>
        <w:rPr>
          <w:rFonts w:ascii="黑体" w:eastAsia="黑体" w:hAnsi="黑体"/>
          <w:sz w:val="32"/>
          <w:szCs w:val="32"/>
        </w:rPr>
      </w:pPr>
      <w:r>
        <w:rPr>
          <w:rFonts w:ascii="黑体" w:eastAsia="黑体" w:hAnsi="黑体" w:hint="eastAsia"/>
          <w:sz w:val="32"/>
          <w:szCs w:val="32"/>
        </w:rPr>
        <w:lastRenderedPageBreak/>
        <w:t>五、绩效预算信息</w:t>
      </w:r>
    </w:p>
    <w:p w:rsidR="00BE1FE1" w:rsidRDefault="00BE1FE1" w:rsidP="00621CD8">
      <w:pPr>
        <w:ind w:firstLineChars="200" w:firstLine="643"/>
        <w:jc w:val="left"/>
        <w:rPr>
          <w:rFonts w:ascii="楷体" w:eastAsia="楷体" w:hAnsi="楷体"/>
          <w:b/>
          <w:sz w:val="32"/>
          <w:szCs w:val="32"/>
        </w:rPr>
      </w:pPr>
      <w:bookmarkStart w:id="2" w:name="_Toc471398463"/>
      <w:r>
        <w:rPr>
          <w:rFonts w:ascii="楷体" w:eastAsia="楷体" w:hAnsi="楷体" w:hint="eastAsia"/>
          <w:b/>
          <w:sz w:val="32"/>
          <w:szCs w:val="32"/>
        </w:rPr>
        <w:t>总体绩效目标：</w:t>
      </w:r>
    </w:p>
    <w:p w:rsidR="00BE1FE1" w:rsidRDefault="00BE1FE1" w:rsidP="005579D5">
      <w:pPr>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围绕弘扬传承，强化挖掘整理，大力开展文化惠民工程。对文化站办公用房进行修缮，对重点村街文化大院加大投入力度，打造精品工程。继续完善现有组织，再建立一至两个协会组织。继续发掘整理申报霸州市级非遗项目，争取廊坊市级和省级项目。整理七十二座庙宇微缩景观项目，出版信安文史资料第三辑《信安庙宇》，谋划信安镇文史资料汇编第四辑，重点围绕信安老字号开展，制定龙泉寺周边旅游文化产业发展规划。开展广场文化惠民活动，农家书屋、资源共享持续实现对外开放，更新文化站图书</w:t>
      </w:r>
      <w:r>
        <w:rPr>
          <w:rFonts w:ascii="仿宋_GB2312" w:eastAsia="仿宋_GB2312"/>
          <w:sz w:val="32"/>
          <w:szCs w:val="32"/>
        </w:rPr>
        <w:t>1000</w:t>
      </w:r>
      <w:r>
        <w:rPr>
          <w:rFonts w:ascii="仿宋_GB2312" w:eastAsia="仿宋_GB2312" w:hint="eastAsia"/>
          <w:sz w:val="32"/>
          <w:szCs w:val="32"/>
        </w:rPr>
        <w:t>册。发掘整理信安新八景文化标识，开展书法、绘画、戏曲、诗词、历史文化名镇等讲座和村级文化专干辅导培训，鼓励支持现有文化产业，促进全镇文化的大发展。</w:t>
      </w:r>
    </w:p>
    <w:p w:rsidR="00BE1FE1" w:rsidRDefault="00BE1FE1" w:rsidP="005579D5">
      <w:pPr>
        <w:spacing w:line="5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、围绕平安和谐，强化责任落实，努力维护社会稳定。</w:t>
      </w:r>
      <w:r>
        <w:rPr>
          <w:rFonts w:ascii="仿宋_GB2312" w:eastAsia="仿宋_GB2312"/>
          <w:sz w:val="32"/>
          <w:szCs w:val="32"/>
        </w:rPr>
        <w:t>2018</w:t>
      </w:r>
      <w:r>
        <w:rPr>
          <w:rFonts w:ascii="仿宋_GB2312" w:eastAsia="仿宋_GB2312" w:hint="eastAsia"/>
          <w:sz w:val="32"/>
          <w:szCs w:val="32"/>
        </w:rPr>
        <w:t>年，我们将把减少群众上访作为稳定工作的重要方面来抓，进一步加强排查信息工作，对集体上访和异常信访苗头，落实责任及时做好疏导工作，把矛盾化解在基层，以遏制越访势头，并将信息及时、准确地向上级及有关部门反映，形成上下贯通、精干高效的信访信息队伍和网络体系。同时，深化安全生产责任体系建设。严格落实安全生产责任主体意识，把安全生产作为企业管理的首要任务，督促企业完善安全教育培训制度，分类、分层次开展法律法规、安全管理规章制度、安全技术、操作规程、事故案例、应急管理、职业危害等教育培训活动。重点做好危险化学品、冶金、小企业、小作坊、烟花爆竹等重点行业和领域的安全监管，对重点部位和重点设备的安全状况进行检查，对无证、无照的小企业、小作坊坚决关停。</w:t>
      </w:r>
    </w:p>
    <w:p w:rsidR="00BE1FE1" w:rsidRDefault="00BE1FE1" w:rsidP="005579D5">
      <w:pPr>
        <w:spacing w:line="500" w:lineRule="exact"/>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围绕社会保障，强化服务意识，切实提升民生福祉。深入开展“精准扶贫”活动，落实脱贫攻坚任务。一是继续大力实施扶贫攻坚战。大力实施精准扶贫，着力在改善基础设施建设和发展产业促进群众脱贫致富上下功夫，努力为群众创造更好的生产生活条件，提高农民生活质量，促进农村经济发展，帮助群众脱贫致富。二是切实关心和帮助困难、弱势群体。切实发挥镇爱心基金救助作用，进一步加大对困难群众的帮扶力度，做好摸底排查工作，切实帮助广大贫困户早日脱贫致富。三是进一步完善农村最低生活保障制度，全面实现动态管理，做好低保调查清理工作，做到有进有出，分类施保，应保尽保。四是深化、细化镇村两级救灾应急预案，加强救灾款物的管理使用，确保各项救灾措施迅速到位，保证群众的生命和财产安全。五是突出教育优先发展，统筹兼顾文化、卫生事业，扎实做好新农保、城乡医保等惠民政策的落实，让群众老有所养，病有所医。</w:t>
      </w:r>
    </w:p>
    <w:p w:rsidR="00BE1FE1" w:rsidRDefault="00BE1FE1">
      <w:pPr>
        <w:spacing w:line="500" w:lineRule="exact"/>
        <w:ind w:firstLine="56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、围绕“两学一做”，强化制度管理，全面落实党风建设。</w:t>
      </w:r>
      <w:r>
        <w:rPr>
          <w:rFonts w:ascii="仿宋_GB2312" w:eastAsia="仿宋_GB2312"/>
          <w:sz w:val="32"/>
          <w:szCs w:val="32"/>
        </w:rPr>
        <w:t>2018</w:t>
      </w:r>
      <w:r>
        <w:rPr>
          <w:rFonts w:ascii="仿宋_GB2312" w:eastAsia="仿宋_GB2312" w:hint="eastAsia"/>
          <w:sz w:val="32"/>
          <w:szCs w:val="32"/>
        </w:rPr>
        <w:t>年我们将以党建为抓手，“以两学一做”活动为契机，以党风带政风促民风，在树形象、促服务、做表率等方面下功夫。一是确保顺利完成村街两委换届工作。</w:t>
      </w:r>
      <w:r>
        <w:rPr>
          <w:rFonts w:ascii="仿宋_GB2312" w:eastAsia="仿宋_GB2312"/>
          <w:sz w:val="32"/>
          <w:szCs w:val="32"/>
        </w:rPr>
        <w:t>2018</w:t>
      </w:r>
      <w:r>
        <w:rPr>
          <w:rFonts w:ascii="仿宋_GB2312" w:eastAsia="仿宋_GB2312" w:hint="eastAsia"/>
          <w:sz w:val="32"/>
          <w:szCs w:val="32"/>
        </w:rPr>
        <w:t>年是我镇村街“两委”换届年，积极组织培训会议、认真制定方案，开展走访调研，做到稳步推进。确保</w:t>
      </w:r>
      <w:r>
        <w:rPr>
          <w:rFonts w:ascii="仿宋_GB2312" w:eastAsia="仿宋_GB2312"/>
          <w:sz w:val="32"/>
          <w:szCs w:val="32"/>
        </w:rPr>
        <w:t>2018</w:t>
      </w:r>
      <w:r>
        <w:rPr>
          <w:rFonts w:ascii="仿宋_GB2312" w:eastAsia="仿宋_GB2312" w:hint="eastAsia"/>
          <w:sz w:val="32"/>
          <w:szCs w:val="32"/>
        </w:rPr>
        <w:t>年第一季度全面完成换届任务，选举出一批想干事、会干事、能干事的优秀村“两委”干部。二是做好党员培训、发展、服务工作。确保全年发展优秀党员</w:t>
      </w:r>
      <w:r>
        <w:rPr>
          <w:rFonts w:ascii="仿宋_GB2312" w:eastAsia="仿宋_GB2312"/>
          <w:sz w:val="32"/>
          <w:szCs w:val="32"/>
        </w:rPr>
        <w:t>20</w:t>
      </w:r>
      <w:r>
        <w:rPr>
          <w:rFonts w:ascii="仿宋_GB2312" w:eastAsia="仿宋_GB2312" w:hint="eastAsia"/>
          <w:sz w:val="32"/>
          <w:szCs w:val="32"/>
        </w:rPr>
        <w:t>余名，同时做好党员转正工作；完成全年的党费收缴任务；对党员信息实行动态管理，及时了解党员的变动信息，并在全国党员信息系统中及时调整。三是做好党建示范区创建工作。按照党建示范区建设方案总体部署，继续实施团结街党建示范区创建，同时开始忠勇街创建工作。确保创建形式结合村街实际，形成自身特点，避免千篇一律，形成良好的社会影响，稳步推进各村街创建工作，开展以党建促发展，以发展促党建的“双促活动”。四是坚持“两学一做”学习教育常态化、制度化。踏实开展好党员“两</w:t>
      </w:r>
      <w:r>
        <w:rPr>
          <w:rFonts w:ascii="仿宋_GB2312" w:eastAsia="仿宋_GB2312" w:hint="eastAsia"/>
          <w:sz w:val="32"/>
          <w:szCs w:val="32"/>
        </w:rPr>
        <w:lastRenderedPageBreak/>
        <w:t>学一做”学习教育，制定好每月学习计划、学习资料，进一步深化党员为民办实事公开承诺，与“两学一做”学习教育相结合，创建学习型、服务型党组织，确保取得实效。五是大力开展党风廉政建设和反腐工作。瞄准发生在群众身边的“四风”和腐败问题，加强监督问责，开展村务公开和村级财务管理情况专项督查。持续加大效能督查考评力度，切实转变镇村干部工作作风、强化为民服务意识、提高办事效率，为全镇的各项工作提供强有力的组织保障。</w:t>
      </w:r>
    </w:p>
    <w:p w:rsidR="00BE1FE1" w:rsidRDefault="00BE1FE1" w:rsidP="005579D5">
      <w:pPr>
        <w:ind w:firstLineChars="200" w:firstLine="643"/>
        <w:jc w:val="left"/>
        <w:outlineLvl w:val="0"/>
        <w:rPr>
          <w:rFonts w:ascii="楷体_GB2312" w:eastAsia="楷体_GB2312" w:hAnsi="黑体"/>
          <w:b/>
          <w:sz w:val="32"/>
          <w:szCs w:val="32"/>
        </w:rPr>
      </w:pPr>
    </w:p>
    <w:p w:rsidR="00BE1FE1" w:rsidRDefault="00BE1FE1" w:rsidP="005579D5">
      <w:pPr>
        <w:ind w:firstLineChars="200" w:firstLine="643"/>
        <w:jc w:val="left"/>
        <w:outlineLvl w:val="0"/>
        <w:rPr>
          <w:rFonts w:ascii="楷体_GB2312" w:eastAsia="楷体_GB2312" w:hAnsi="黑体"/>
          <w:b/>
          <w:sz w:val="32"/>
          <w:szCs w:val="32"/>
        </w:rPr>
      </w:pPr>
    </w:p>
    <w:p w:rsidR="00BE1FE1" w:rsidRDefault="00BE1FE1" w:rsidP="005579D5">
      <w:pPr>
        <w:ind w:firstLineChars="200" w:firstLine="643"/>
        <w:jc w:val="left"/>
        <w:outlineLvl w:val="0"/>
        <w:rPr>
          <w:rFonts w:ascii="楷体" w:eastAsia="楷体" w:hAnsi="楷体"/>
          <w:b/>
          <w:sz w:val="32"/>
          <w:szCs w:val="24"/>
        </w:rPr>
      </w:pPr>
      <w:r>
        <w:rPr>
          <w:rFonts w:ascii="楷体" w:eastAsia="楷体" w:hAnsi="楷体" w:hint="eastAsia"/>
          <w:b/>
          <w:sz w:val="32"/>
          <w:szCs w:val="32"/>
        </w:rPr>
        <w:t>部门职责及工作活动绩效目标指标：</w:t>
      </w:r>
    </w:p>
    <w:p w:rsidR="00BE1FE1" w:rsidRDefault="00BE1FE1">
      <w:pPr>
        <w:jc w:val="center"/>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部门职责</w:t>
      </w:r>
      <w:r>
        <w:rPr>
          <w:rFonts w:ascii="方正小标宋_GBK" w:eastAsia="方正小标宋_GBK" w:hAnsi="Times New Roman"/>
          <w:sz w:val="32"/>
          <w:szCs w:val="24"/>
        </w:rPr>
        <w:t>-</w:t>
      </w:r>
      <w:r>
        <w:rPr>
          <w:rFonts w:ascii="方正小标宋_GBK" w:eastAsia="方正小标宋_GBK" w:hAnsi="Times New Roman" w:hint="eastAsia"/>
          <w:sz w:val="32"/>
          <w:szCs w:val="24"/>
        </w:rPr>
        <w:t>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1"/>
        <w:gridCol w:w="1276"/>
        <w:gridCol w:w="2976"/>
        <w:gridCol w:w="2976"/>
        <w:gridCol w:w="1417"/>
        <w:gridCol w:w="737"/>
        <w:gridCol w:w="737"/>
        <w:gridCol w:w="737"/>
        <w:gridCol w:w="737"/>
      </w:tblGrid>
      <w:tr w:rsidR="00BE1FE1">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E1FE1" w:rsidRDefault="00BE1FE1">
            <w:pPr>
              <w:spacing w:line="300" w:lineRule="exact"/>
              <w:jc w:val="left"/>
              <w:rPr>
                <w:rFonts w:ascii="方正小标宋_GBK" w:eastAsia="方正小标宋_GBK"/>
                <w:sz w:val="24"/>
              </w:rPr>
            </w:pPr>
            <w:r>
              <w:rPr>
                <w:rFonts w:ascii="方正小标宋_GBK" w:eastAsia="方正小标宋_GBK"/>
                <w:sz w:val="24"/>
              </w:rPr>
              <w:t>959</w:t>
            </w:r>
            <w:r>
              <w:rPr>
                <w:rFonts w:ascii="方正小标宋_GBK" w:eastAsia="方正小标宋_GBK" w:hint="eastAsia"/>
                <w:sz w:val="24"/>
              </w:rPr>
              <w:t>霸州市信安镇</w:t>
            </w:r>
          </w:p>
        </w:tc>
        <w:tc>
          <w:tcPr>
            <w:tcW w:w="2948" w:type="dxa"/>
            <w:gridSpan w:val="4"/>
            <w:tcBorders>
              <w:top w:val="single" w:sz="6" w:space="0" w:color="FFFFFF"/>
              <w:left w:val="single" w:sz="6" w:space="0" w:color="FFFFFF"/>
              <w:right w:val="single" w:sz="6" w:space="0" w:color="FFFFFF"/>
            </w:tcBorders>
            <w:vAlign w:val="center"/>
          </w:tcPr>
          <w:p w:rsidR="00BE1FE1" w:rsidRDefault="00BE1FE1">
            <w:pPr>
              <w:spacing w:line="300" w:lineRule="exact"/>
              <w:jc w:val="right"/>
              <w:rPr>
                <w:rFonts w:ascii="方正书宋_GBK" w:eastAsia="方正书宋_GBK"/>
                <w:sz w:val="24"/>
              </w:rPr>
            </w:pPr>
            <w:r>
              <w:rPr>
                <w:rFonts w:ascii="方正书宋_GBK" w:eastAsia="方正书宋_GBK" w:hint="eastAsia"/>
                <w:sz w:val="24"/>
              </w:rPr>
              <w:t>单位：万元</w:t>
            </w:r>
          </w:p>
        </w:tc>
      </w:tr>
      <w:tr w:rsidR="00BE1FE1">
        <w:trPr>
          <w:trHeight w:val="227"/>
          <w:tblHeader/>
          <w:jc w:val="center"/>
        </w:trPr>
        <w:tc>
          <w:tcPr>
            <w:tcW w:w="2341" w:type="dxa"/>
            <w:vMerge w:val="restart"/>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评价标准</w:t>
            </w:r>
          </w:p>
        </w:tc>
      </w:tr>
      <w:tr w:rsidR="00BE1FE1">
        <w:trPr>
          <w:trHeight w:val="227"/>
          <w:tblHeader/>
          <w:jc w:val="center"/>
        </w:trPr>
        <w:tc>
          <w:tcPr>
            <w:tcW w:w="2341" w:type="dxa"/>
            <w:vMerge/>
            <w:vAlign w:val="center"/>
          </w:tcPr>
          <w:p w:rsidR="00BE1FE1" w:rsidRDefault="00BE1FE1">
            <w:pPr>
              <w:spacing w:line="300" w:lineRule="exact"/>
              <w:jc w:val="left"/>
              <w:outlineLvl w:val="0"/>
            </w:pPr>
          </w:p>
        </w:tc>
        <w:tc>
          <w:tcPr>
            <w:tcW w:w="1276" w:type="dxa"/>
            <w:vMerge/>
            <w:vAlign w:val="center"/>
          </w:tcPr>
          <w:p w:rsidR="00BE1FE1" w:rsidRDefault="00BE1FE1">
            <w:pPr>
              <w:spacing w:line="300" w:lineRule="exact"/>
              <w:jc w:val="left"/>
              <w:outlineLvl w:val="0"/>
            </w:pPr>
          </w:p>
        </w:tc>
        <w:tc>
          <w:tcPr>
            <w:tcW w:w="2976" w:type="dxa"/>
            <w:vMerge/>
            <w:vAlign w:val="center"/>
          </w:tcPr>
          <w:p w:rsidR="00BE1FE1" w:rsidRDefault="00BE1FE1">
            <w:pPr>
              <w:spacing w:line="300" w:lineRule="exact"/>
              <w:jc w:val="left"/>
              <w:outlineLvl w:val="0"/>
            </w:pPr>
          </w:p>
        </w:tc>
        <w:tc>
          <w:tcPr>
            <w:tcW w:w="2976" w:type="dxa"/>
            <w:vMerge/>
            <w:vAlign w:val="center"/>
          </w:tcPr>
          <w:p w:rsidR="00BE1FE1" w:rsidRDefault="00BE1FE1">
            <w:pPr>
              <w:spacing w:line="300" w:lineRule="exact"/>
              <w:jc w:val="left"/>
              <w:outlineLvl w:val="0"/>
            </w:pPr>
          </w:p>
        </w:tc>
        <w:tc>
          <w:tcPr>
            <w:tcW w:w="1417" w:type="dxa"/>
            <w:vMerge/>
            <w:vAlign w:val="center"/>
          </w:tcPr>
          <w:p w:rsidR="00BE1FE1" w:rsidRDefault="00BE1FE1">
            <w:pPr>
              <w:spacing w:line="300" w:lineRule="exact"/>
              <w:jc w:val="left"/>
              <w:outlineLvl w:val="0"/>
            </w:pPr>
          </w:p>
        </w:tc>
        <w:tc>
          <w:tcPr>
            <w:tcW w:w="737" w:type="dxa"/>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BE1FE1" w:rsidRDefault="00BE1FE1">
            <w:pPr>
              <w:spacing w:line="300" w:lineRule="exact"/>
              <w:jc w:val="center"/>
              <w:rPr>
                <w:rFonts w:ascii="方正书宋_GBK" w:eastAsia="方正书宋_GBK"/>
                <w:b/>
              </w:rPr>
            </w:pPr>
            <w:r>
              <w:rPr>
                <w:rFonts w:ascii="方正书宋_GBK" w:eastAsia="方正书宋_GBK" w:hint="eastAsia"/>
                <w:b/>
              </w:rPr>
              <w:t>差</w:t>
            </w: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一、城乡建设管理</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2576.78</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负责市政公用设施建设、安全和应急管理；负责乡、乡村庄规划的编制和实施；负责农村住房建设、住房安全和危房改造；改善小城乡和村庄人居环境。</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加强管理，提高城市承载能力和宜居度。加强村乡建设，改善农村人居环境，实现城乡统筹发展。</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、市政公用设施建设与管理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城市公园绿地、城市植树、城乡古树名木和风景名胜资源保护完成率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实际完成工作量占工作计划的比例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2</w:t>
            </w:r>
            <w:r>
              <w:rPr>
                <w:rFonts w:ascii="方正书宋_GBK" w:eastAsia="方正书宋_GBK" w:hint="eastAsia"/>
                <w:b/>
              </w:rPr>
              <w:t>、城市容貌环境综合整治</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16.12</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机械化清扫率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机械化清扫面积与全部清扫面积的比例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53%</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53%</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、推进城乡化建设</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2560.66</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指导农村住房建设、住房安全和危房改造，推进小城乡村庄人居环境改善，指导国家级重点乡及省级重点乡的建设；做好乡城规划、环境质量、居住水平、产业聚集、风貌特色、综合管理、城建投融资等指导工作，全面推进乡城建设；协调和指导推进城乡化工作，城市建设投融资体制改革。</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垃圾处理率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重点村庄实际垃圾处理量占重点村庄垃圾总量的比例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、城市容貌环境综合整治</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市容环境治理完成率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实际完成的市容环境治理工作量占全年任务量的比例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、市政公用设施建设与管理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市政公用事业基础设施建设及维护工作目标完成率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年度内市政公用事业建设及维护工作量占年度工作计划的比例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6</w:t>
            </w:r>
            <w:r>
              <w:rPr>
                <w:rFonts w:ascii="方正书宋_GBK" w:eastAsia="方正书宋_GBK" w:hint="eastAsia"/>
                <w:b/>
              </w:rPr>
              <w:t>、推进城乡化建设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负责农村住房建设、住房安全和危房改造，推进小城乡村庄人居环境改善；推进城乡化工作，开展城乡规划提升、基础</w:t>
            </w:r>
            <w:r>
              <w:rPr>
                <w:rFonts w:ascii="方正书宋_GBK" w:eastAsia="方正书宋_GBK" w:hint="eastAsia"/>
              </w:rPr>
              <w:lastRenderedPageBreak/>
              <w:t>设施建设、公共服务设施配套、环境容貌治理、建筑能效提升等工作，全面提升乡城建设质量和水平。</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危房改造完成率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危房改造实际完成量占全年任务量的比例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二、党员和党组织建设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负责全乡党组织建设；负责乡委基层组织建设联系会议党的牵头抓总工作；研究和提出党内生活制度建设的意见；协调、规划和指导全乡党员教育工作；主管党员的管理和发展工作。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基层领导班子建设；加强非公经济组织和社会组织党建工作；加强全乡大学生村官队伍建设；健全全乡党的组织制度、党内生活制度建设；加强民主集中制建设和民主生活会宏观指导；乡乡党代会、人代会；做好代表补选、罢免等事宜。</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、党组织建设及党员教育管理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负责全乡党组织建设；负责乡委非公经济和乡委基层组织建设联系会议党的牵头抓总工作；研究和提出党内生活制度建设的意见；协调、规划和指导全乡党员教育工作。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党员现代远程教育课时量完成情况（部</w:t>
            </w:r>
            <w:r>
              <w:rPr>
                <w:rFonts w:ascii="方正书宋_GBK" w:eastAsia="方正书宋_GBK"/>
              </w:rPr>
              <w:t>/</w:t>
            </w:r>
            <w:r>
              <w:rPr>
                <w:rFonts w:ascii="方正书宋_GBK" w:eastAsia="方正书宋_GBK" w:hint="eastAsia"/>
              </w:rPr>
              <w:t>集）</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年度内全乡党员现代远程教育完成课时量</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&lt;20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、党组织建设及党员教育管理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负责全乡党组织建设；负责乡委非公经济和乡委基层组织建设联系会议党的牵头抓总工作；研究和提出党内生活制度建设的意见；协调、规划和指导全乡党员教育工作。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党组织换届工作完成率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完成换届的党组织数量占应换届农村党组织数量的比例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&lt;80%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、党组织建设及党员教育管理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负责全乡党组织建设；负责乡委非公经济和乡委基层组织建设联系会议党的牵头抓总工作；研究和提出党内生活制度</w:t>
            </w:r>
            <w:r>
              <w:rPr>
                <w:rFonts w:ascii="方正书宋_GBK" w:eastAsia="方正书宋_GBK" w:hint="eastAsia"/>
              </w:rPr>
              <w:lastRenderedPageBreak/>
              <w:t>建设的意见；协调、规划和指导全乡党员教育工作。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非公经济组织和社会组织党的组织和工作覆盖率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具备单独组建条件的组建党组织数量占据被单</w:t>
            </w:r>
            <w:r>
              <w:rPr>
                <w:rFonts w:ascii="方正书宋_GBK" w:eastAsia="方正书宋_GBK" w:hint="eastAsia"/>
              </w:rPr>
              <w:lastRenderedPageBreak/>
              <w:t>独组建条件的组织总量的比例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&lt;80%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三、地税政务管理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为保障税务系统各项工作开展</w:t>
            </w:r>
            <w:r>
              <w:rPr>
                <w:rFonts w:ascii="方正书宋_GBK" w:eastAsia="方正书宋_GBK"/>
              </w:rPr>
              <w:t>,</w:t>
            </w:r>
            <w:r>
              <w:rPr>
                <w:rFonts w:ascii="方正书宋_GBK" w:eastAsia="方正书宋_GBK" w:hint="eastAsia"/>
              </w:rPr>
              <w:t>降低区域差异影响</w:t>
            </w:r>
            <w:r>
              <w:rPr>
                <w:rFonts w:ascii="方正书宋_GBK" w:eastAsia="方正书宋_GBK"/>
              </w:rPr>
              <w:t>,</w:t>
            </w:r>
            <w:r>
              <w:rPr>
                <w:rFonts w:ascii="方正书宋_GBK" w:eastAsia="方正书宋_GBK" w:hint="eastAsia"/>
              </w:rPr>
              <w:t>进一步加强全系统基本办公条件保障机制建设</w:t>
            </w:r>
            <w:r>
              <w:rPr>
                <w:rFonts w:ascii="方正书宋_GBK" w:eastAsia="方正书宋_GBK"/>
              </w:rPr>
              <w:t>,</w:t>
            </w:r>
            <w:r>
              <w:rPr>
                <w:rFonts w:ascii="方正书宋_GBK" w:eastAsia="方正书宋_GBK" w:hint="eastAsia"/>
              </w:rPr>
              <w:t>全面提升系统整体水平</w:t>
            </w:r>
            <w:r>
              <w:rPr>
                <w:rFonts w:ascii="方正书宋_GBK" w:eastAsia="方正书宋_GBK"/>
              </w:rPr>
              <w:t>,</w:t>
            </w:r>
            <w:r>
              <w:rPr>
                <w:rFonts w:ascii="方正书宋_GBK" w:eastAsia="方正书宋_GBK" w:hint="eastAsia"/>
              </w:rPr>
              <w:t>统一规范管理，促进地税事业发展。</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保障税务系统各项工作正常开展。</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系统大型会议、人事管理、公务员队伍和党风廉政建设以及其他税收事务。</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综合事务管理工作完成率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综合事务管理工作完成情况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、综合业务管理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基本建设及维护、执法装备购置、信息系统建设等。</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综合业务管理工作完成率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综合业务管理工作完成情况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四、公共卫生</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公共卫生是保障人民大众身心健康的公共事业，包括提供基本公共卫生服务，疾病预防控制，对突发公共卫生事件的应急处置，促进妇女儿童健康，食品安全风险监管等各项工作。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推进基本公共卫生服务均等化；控制各类重大疾病的发生与传播；有效应对我乡突发公共卫生事件；保障妇女儿童身心健康；提高食品安全风险预警能力，为保障食品安全提供技术支撑。</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、突发公共卫生事件应急处置</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负责全乡卫生应急体系和能力建设，突发公共卫生事件的预防准备、监测预警、处置救援、总结评估等工作。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突发公共事件卫生应急处置率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年度处置的突发公共卫生事件数占报告的突发公共卫生事件数的比例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&lt;94%</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、突发公共卫生事</w:t>
            </w:r>
            <w:r>
              <w:rPr>
                <w:rFonts w:ascii="方正书宋_GBK" w:eastAsia="方正书宋_GBK" w:hint="eastAsia"/>
                <w:b/>
              </w:rPr>
              <w:lastRenderedPageBreak/>
              <w:t>件应急处置</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负责全乡卫生应急体系和能力</w:t>
            </w:r>
            <w:r>
              <w:rPr>
                <w:rFonts w:ascii="方正书宋_GBK" w:eastAsia="方正书宋_GBK" w:hint="eastAsia"/>
              </w:rPr>
              <w:lastRenderedPageBreak/>
              <w:t>建设，突发公共卫生事件的预防准备、监测预警、处置救援、总结评估等工作。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突发公共卫生事件信息报告率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及时报告的</w:t>
            </w:r>
            <w:r>
              <w:rPr>
                <w:rFonts w:ascii="方正书宋_GBK" w:eastAsia="方正书宋_GBK" w:hint="eastAsia"/>
              </w:rPr>
              <w:lastRenderedPageBreak/>
              <w:t>突发公共卫生事件相关信息数占应报告突发公共卫生事件相关信息数的比例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98%</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97%</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lastRenderedPageBreak/>
              <w:t>&lt;97%</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五、国土资源执法与监察</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强化全乡国土资源执法监察工作</w:t>
            </w:r>
            <w:r>
              <w:rPr>
                <w:rFonts w:ascii="方正书宋_GBK" w:eastAsia="方正书宋_GBK"/>
              </w:rPr>
              <w:t>,</w:t>
            </w:r>
            <w:r>
              <w:rPr>
                <w:rFonts w:ascii="方正书宋_GBK" w:eastAsia="方正书宋_GBK" w:hint="eastAsia"/>
              </w:rPr>
              <w:t>提高国土资源执法能力。</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执法检查落实在日常，及时发现、制止违法行为，重大专项执法工作按量按质完成，维护群众合法权益。</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、国土资源执法监察</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基础性保障项目完成率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完成的执法检查基础性保障项目占年度安排的执法检查基础性保障项目的比例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、国土资源执法监察</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举报线索处置率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违法举报处置线索数量占违法线索总量的比例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、国土资源执法监察</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专项执法工作完成率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实施完成的重大专项执法工作占年度安排的执法专项行动数的比例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六、环保政务管理</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1.26</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负责环境保护系统综合业务管</w:t>
            </w:r>
            <w:r>
              <w:rPr>
                <w:rFonts w:ascii="方正书宋_GBK" w:eastAsia="方正书宋_GBK" w:hint="eastAsia"/>
              </w:rPr>
              <w:lastRenderedPageBreak/>
              <w:t>理和机关综合事务管理。</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加强环保保护管理工作。</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1.26</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加强排污费征收管理及环保专项资金使用；加强调查研究，提高管理意识及业务能力。</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各项综合事务管理工作完成率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综合事务工作任务完成情况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、综合业务管理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拟定并组织实施全乡年度环境保护地方环境标准、技术规范。加强污染治理技术研究及推广、排污费征收管理及环保专项资金使用。完善环保公共服务体系，加强环保创新能力，加大重点实验室及环境监测、监察的建设力度。</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各项综合业务管理工作完成率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综合业务工作任务完成情况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七、环境保护宣传教育</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拟订全县环境保护宣传教育计划、规划，并组织实施；承担全县环境保护新闻报道和舆论监督工作；组织本系统人员培训；开展环境教育和环境保护民间组织的环保工作；承担环境保护社会表彰工作。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加大环境新闻发布力度、积极回应环境热点问题、加强环境舆情监测、提升全民环境意识、鼓励和引导社会公众积极参与环境保护</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、环境保护社会宣传</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开展组织环保主题宣传活动；建立健全环保公众参与机制；组织开展社会表彰、成就宣传、典型宣传；推出环保宣传品和全民环境教育读物等。</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环保宣传品、环境教育读物编印次数</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环保宣传品、环境教育读物编印次数</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2</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1</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八、环境监测与监察</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开展环境要素的监测与综合分析评价，提高环境监测和预警能力，提高环境监测自动站的建设、管理。加大环境监管执法力度，完善环境基本公共服</w:t>
            </w:r>
            <w:r>
              <w:rPr>
                <w:rFonts w:ascii="方正书宋_GBK" w:eastAsia="方正书宋_GBK" w:hint="eastAsia"/>
              </w:rPr>
              <w:lastRenderedPageBreak/>
              <w:t>务体系建设。开展本县环境保护督察工作。坚持预防为主，防范环境风险，完善环境应急管理体系建设，环境应急值守工作规范化、系统化；建立健全本县重污染天气应急响应机制，提高预防、预警、应对能力。</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完成环境数据的综合分析、数据发布，环境质量预警等多项工作，预报污染事故，保证政府及时采取对策，降低或减少环境灾害。加大对重点案件的</w:t>
            </w:r>
            <w:r>
              <w:rPr>
                <w:rFonts w:ascii="方正书宋_GBK" w:eastAsia="方正书宋_GBK" w:hint="eastAsia"/>
              </w:rPr>
              <w:lastRenderedPageBreak/>
              <w:t>现场调查处理。完成本县环境保护督查工作。建立健全应急救援体系，有效控制、减轻环境风险，最大程度避免突发环境事件对环境造成的损失和危害。</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、环境监察与督查</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组织全县环境监察人员岗位培训。落实全县排污费征收、稽查工作。对环境违法案件进行查处。开展全县环境保护督察工作。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环境保护督察率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实际督察数量占本年度计划督察数量比例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九、环境污染综合防治</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6.80</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制定大气、水体、固体废物、机动车等污染防治管理制度并组织实施，会同有关部门监督管理饮用水水源地环境保护。负责全乡固体废物监督、检查、管理工作，组织开展废弃电器电子产品拆解处理审核。加强对重点污染治理工程的防治和全乡重点流域、区域、海域污染综合防治。</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加强大气、水、固体废弃物、重金属、机动车污染等重点污染治理工程的防治工作。加强固体废物管理和废弃电器电子产品拆解处理审核。推进重点污染治理工程开展，改善我乡环境质量。</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、水污染防治</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加强河流湖泊水污染防治、地下水污染防治、近岸海域水污染防治、饮用水源保护、污染水体整治、水污染源监督管理、水污染防治和水环境保护工程。编制本乡重污染流域治理</w:t>
            </w:r>
            <w:r>
              <w:rPr>
                <w:rFonts w:ascii="方正书宋_GBK" w:eastAsia="方正书宋_GBK" w:hint="eastAsia"/>
              </w:rPr>
              <w:lastRenderedPageBreak/>
              <w:t>方案</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水体污染防治方案编制完成率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水体污染防治方案编制完成情况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、水污染防治</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加强河流湖泊水污染防治、地下水污染防治、近岸海域水污染防治、饮用水源保护、污染水体整治、水污染源监督管理、水污染防治和水环境保护工程。编制本乡重污染流域治理方案</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重点防治水域水质达标率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重点防治水域水质达标情况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、重点污染治理工程</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6.80</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加强对影响全县环境质量的重点污染物排放进行防治，引导促进全县环境保护污染减排工程建设，推动污染综合防治活动开展。</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重点污染治理工程完成率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重点污染治理工程完成情况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十、教育政务管理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负责教育系统综合业务管理和机关综合事务管理。</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依法行政，构建人民群众满意、勤政廉洁的政府部门；保障工作正常高效运行，相关工作顺利开展。</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做好会议培训组织，内部信息化建设与维护，财务和资产管理，标准化建设，基础设施维修，大型设备购置，人事、党务以及老干部管理等工作。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综合事务管理工作完成率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各项综合事务工作任务完成情况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、综合业务管理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做好教育政策制定、教育改革、教育科研、教育信息化建设等工作。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综合业务管理工作完成率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各项综合业务工作任务完成情况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十一、林业科技支撑和公共服务</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组织全乡林业及其生态建设的科技创新和技术示范推广，为林业生态发展和林产品生产提供公共支撑。</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示范推广林业生产管理的良种、良法，提高林产品品质和经济效益。</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、林业防灾减灾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组织、协调全乡森林火灾的预防与扑救工作，承担全乡森林防火指挥部的具体工作。组织开展林业有害生物的防治、检疫工作。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林业有害生物的防治、检疫工作完成率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林业有害生物的防治、检疫工作完成面积占计划的比例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&lt;60%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十二、农业科技支撑和公共服务</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提高农业机械化水平，建立健全农业科技服务和防灾减灾体系，推动农业生产向现代农业发展。</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促进农业现代化，提高农业劳动生产率，增加农民收入。</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、动植物疫病防控</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动植物疫情监测目标完成率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动植物疫情监测数量占计划检测数量的比例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、农作物全程机械化及农机作业补贴</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开展耕地深松作业，作业深度超过</w:t>
            </w:r>
            <w:r>
              <w:rPr>
                <w:rFonts w:ascii="方正书宋_GBK" w:eastAsia="方正书宋_GBK"/>
              </w:rPr>
              <w:t>25</w:t>
            </w:r>
            <w:r>
              <w:rPr>
                <w:rFonts w:ascii="方正书宋_GBK" w:eastAsia="方正书宋_GBK" w:hint="eastAsia"/>
              </w:rPr>
              <w:t>厘米，深松间隔不大于</w:t>
            </w:r>
            <w:r>
              <w:rPr>
                <w:rFonts w:ascii="方正书宋_GBK" w:eastAsia="方正书宋_GBK"/>
              </w:rPr>
              <w:t>70</w:t>
            </w:r>
            <w:r>
              <w:rPr>
                <w:rFonts w:ascii="方正书宋_GBK" w:eastAsia="方正书宋_GBK" w:hint="eastAsia"/>
              </w:rPr>
              <w:t>厘米，通过实施农机深松作业，有效节约了水资源，提高了肥料利用率。</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深松面积目标完成率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年度内深松耕地完成面积占计划深松面积的比例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68%</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&lt;65%</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、动植物疫病防控</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突发动植物疫情处置率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及时处置突发动植物疫情次数占实际发生疫情次数的比例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十三、农业资源保护和生态建设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建设生态农业，改善农村环境，实现农业可持续发展。</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、农村能源清洁开发利用</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按照整乡整村推进的模式，建设秸秆综合利用试点项目；集中示范推广高效清洁燃烧炉</w:t>
            </w:r>
            <w:r>
              <w:rPr>
                <w:rFonts w:ascii="方正书宋_GBK" w:eastAsia="方正书宋_GBK" w:hint="eastAsia"/>
              </w:rPr>
              <w:lastRenderedPageBreak/>
              <w:t>具、电采暖、太阳能互补采暖、太阳能热水器、太阳灶、秸秆能源化利用等多种技术，打造新能源示范村。</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大气污染物减排完成率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年度内大气污染物减排任务完成情</w:t>
            </w:r>
            <w:r>
              <w:rPr>
                <w:rFonts w:ascii="方正书宋_GBK" w:eastAsia="方正书宋_GBK" w:hint="eastAsia"/>
              </w:rPr>
              <w:lastRenderedPageBreak/>
              <w:t>况与计划情况相比较</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、农业污染治理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开展农产品产地重金属污染防治工作。进行土壤样品的制备和监测，根据监测结果编制农产品产地安全情况分析报告，开展农产品产地重金属污染修复示范。</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全乡开展土地污染修复效果实现情况</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土地污染修复效果实现情况与计划实现情况相比较</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十四、农业综合开发</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贯彻执行国家农业综合开发方针、政策，按照省农业综合开发政策及项目立项、实施、检查验收等管理办法，管理全乡农业综合开发资金和各类农业综合开发项目。</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在全乡实施农业综合开发土地治理、产业化经营等项目</w:t>
            </w:r>
            <w:r>
              <w:rPr>
                <w:rFonts w:ascii="方正书宋_GBK" w:eastAsia="方正书宋_GBK"/>
              </w:rPr>
              <w:t>,</w:t>
            </w:r>
            <w:r>
              <w:rPr>
                <w:rFonts w:ascii="方正书宋_GBK" w:eastAsia="方正书宋_GBK" w:hint="eastAsia"/>
              </w:rPr>
              <w:t>依据国家、省确定的项目配套比例，筹集乡级配套资金；组织实施高标准农田、生态综合治理、中型灌区配套改造、产业化经营财政补助项目、贴息项目等，大力推进重点开发、效益开发，有效改善农业生产条件和生态环境，提高农业综合生产能力提高粮食产能，扶持农业龙头企业和新型经营主体，带动农业特色主导产业发展，促进农业增效、农民增收。</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、农业土地治理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落实农业综合开发土地治理项目管理办法、农业综合开发土地治理项目中长期规划和年度项目计划；监督农业综合开发土地治理项目计划执行。</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高标准农田建设规模</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当年高标准农田建设总数</w:t>
            </w: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2</w:t>
            </w:r>
            <w:r>
              <w:rPr>
                <w:rFonts w:ascii="方正书宋_GBK" w:eastAsia="方正书宋_GBK" w:hint="eastAsia"/>
                <w:b/>
              </w:rPr>
              <w:t>、农业土地治理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落实农业综合开发土地治理项目管理办法、农业综合开发土地治理项目中长期规划和年度项目计划；监督农业综合开发土地治理项目计划执行。</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高标准农田建设计划完成率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实际完成工作任务占计划工作任务的比例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十五、社会救助、救灾管理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负责城乡居民最低生活保障、五保供养、医疗救助。组织协调全乡防灾减灾救灾工作。组织核查并统一发布灾情。组织指导救灾捐赠工作，负责国内外救灾捐赠款物的接收管理和分配使用。</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完善城乡社会救助制度，实施分类救助，应保尽保</w:t>
            </w:r>
            <w:r>
              <w:rPr>
                <w:rFonts w:ascii="方正书宋_GBK" w:eastAsia="方正书宋_GBK"/>
              </w:rPr>
              <w:t>,</w:t>
            </w:r>
            <w:r>
              <w:rPr>
                <w:rFonts w:ascii="方正书宋_GBK" w:eastAsia="方正书宋_GBK" w:hint="eastAsia"/>
              </w:rPr>
              <w:t>动态管理。完善全乡自然灾害救助应急体系。实施分类救助，保障受灾群众基本生活。</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、困难群众基本生活保障</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符合条件的城乡居民最低生活保障、五保户的集中供养和分散供养、临时生活救助工作、全乡城乡低收入家庭收入核定管理工作、保障孤儿基本生活，加强流浪乞讨人员救助管理，做好留守老人、妇女、儿童和残疾人护理保障工作。保障孤儿基本生活，组织开展全乡孤残儿童手术康复，推进儿童福利机构基础设施建设。加快流浪乞讨人员、流浪未成年人救助场所的设施建设。开展未成年人社会保护试点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城乡居民低保保障率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符合条件的对象纳入低保范围人数占符合条件对象人数的比例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、自然灾害救助</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负责全乡防灾减灾及救灾储备管理；开展应急避难场所建设；</w:t>
            </w:r>
            <w:r>
              <w:rPr>
                <w:rFonts w:ascii="方正书宋_GBK" w:eastAsia="方正书宋_GBK" w:hint="eastAsia"/>
              </w:rPr>
              <w:lastRenderedPageBreak/>
              <w:t>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乡救灾捐赠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救灾捐赠资金到位率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落实救灾捐赠资金量占</w:t>
            </w:r>
            <w:r>
              <w:rPr>
                <w:rFonts w:ascii="方正书宋_GBK" w:eastAsia="方正书宋_GBK" w:hint="eastAsia"/>
              </w:rPr>
              <w:lastRenderedPageBreak/>
              <w:t>救灾捐赠资金总量的比例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&lt;80%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、自然灾害救助</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乡救灾捐赠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突发灾害报灾时效性和准确性</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突发灾害报灾时效性和准确性</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95%</w:t>
            </w:r>
            <w:r>
              <w:rPr>
                <w:rFonts w:ascii="方正书宋_GBK" w:eastAsia="方正书宋_GBK" w:hint="eastAsia"/>
              </w:rPr>
              <w:t>及以上</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90%</w:t>
            </w:r>
            <w:r>
              <w:rPr>
                <w:rFonts w:ascii="方正书宋_GBK" w:eastAsia="方正书宋_GBK" w:hint="eastAsia"/>
              </w:rPr>
              <w:t>及以上</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超出</w:t>
            </w:r>
            <w:r>
              <w:rPr>
                <w:rFonts w:ascii="方正书宋_GBK" w:eastAsia="方正书宋_GBK"/>
              </w:rPr>
              <w:t>24</w:t>
            </w:r>
            <w:r>
              <w:rPr>
                <w:rFonts w:ascii="方正书宋_GBK" w:eastAsia="方正书宋_GBK" w:hint="eastAsia"/>
              </w:rPr>
              <w:t>小时，准确度低于</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、自然灾害救助</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w:t>
            </w:r>
            <w:r>
              <w:rPr>
                <w:rFonts w:ascii="方正书宋_GBK" w:eastAsia="方正书宋_GBK" w:hint="eastAsia"/>
              </w:rPr>
              <w:lastRenderedPageBreak/>
              <w:t>落实民房恢复重建及灾民生活救助。指导全乡救灾捐赠工作。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物资保障受灾群众人数覆盖率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享受物资保障的受灾群众数量占受灾群众总数的比例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&lt;85%</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、自然灾害救助</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乡救灾捐赠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乡级救灾物资运达灾区时间</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乡级救灾物资运达灾区时间（小时）</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24</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&gt;24</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6</w:t>
            </w:r>
            <w:r>
              <w:rPr>
                <w:rFonts w:ascii="方正书宋_GBK" w:eastAsia="方正书宋_GBK" w:hint="eastAsia"/>
                <w:b/>
              </w:rPr>
              <w:t>、医疗救助</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负责城乡居民、优抚对象医疗救助、重特大疾病救助工作。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优抚对象医疗补助到位率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优抚对象医疗补助占应补助的比例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&lt;98%</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十六、双拥优抚安置政策及管理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组织、指导全省拥军优属活动。组织对优抚对象的优待、抚恤的政策落实，负责全省转业士官、退役士兵及军队离退休干部、退休士官和军队无军籍退休退职职工接收安置工作。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、优待抚恤</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负责全省优抚对象优待、抚恤工作；负责优抚对象数据更新</w:t>
            </w:r>
            <w:r>
              <w:rPr>
                <w:rFonts w:ascii="方正书宋_GBK" w:eastAsia="方正书宋_GBK" w:hint="eastAsia"/>
              </w:rPr>
              <w:lastRenderedPageBreak/>
              <w:t>管理；承担优抚对象巡诊、残疾军人康复辅助器械配备工作。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优抚对象对优抚工作的满意度</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通过调查，了解优抚对象</w:t>
            </w:r>
            <w:r>
              <w:rPr>
                <w:rFonts w:ascii="方正书宋_GBK" w:eastAsia="方正书宋_GBK" w:hint="eastAsia"/>
              </w:rPr>
              <w:lastRenderedPageBreak/>
              <w:t>满意程度</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满意</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一般</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不满意</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、优待抚恤</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负责全省优抚对象优待、抚恤工作；负责优抚对象数据更新管理；承担优抚对象巡诊、残疾军人康复辅助器械配备工作。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优抚对象抚恤和生活补助足额兑现率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优抚对象生活抚恤兑付资金占应兑付额的比例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&lt;98%</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十七、水利科技支撑和公共服务</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206.19</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组织指导全省水利事业建设的科技创新和技术示范推广，为水利事业科学发展提供公共支撑。</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研制并示范推广水利工程和管理技术，提高水利事业管理水平。</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、防汛抗旱</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206.19</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负责全乡防汛抗旱组织管理、应急调度，储备管理防汛抗旱物资，提高全乡抗御水旱灾害能力。</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防汛抗旱工作完成率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实际完成应急度汛、抗旱应急项目工作数量占应完成量的比率</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&lt;85%</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、防汛抗旱</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负责全乡防汛抗旱组织管理、应急调度，储备管理防汛抗旱物资，提高全乡抗御水旱灾害能力。</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防汛抗旱投资完成率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防汛抗旱任务投资完成数量占下达数量的比例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&lt;85%</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十八、水利水电项目建设与管理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水利水电项目的建设与维护管理。</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按期完成水利水电项目建设和维修管护任务，对社会稳定和经济发展起到积极作用</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、保障农村饮水安全</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通过实施农村饮水安全项目，解决农村居民饮水安全问题。</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解决农村饮用水安全人口情况</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已解决农村饮用水安全人口数量占全部需要解</w:t>
            </w:r>
            <w:r>
              <w:rPr>
                <w:rFonts w:ascii="方正书宋_GBK" w:eastAsia="方正书宋_GBK" w:hint="eastAsia"/>
              </w:rPr>
              <w:lastRenderedPageBreak/>
              <w:t>决农村饮用水安全人口数量的比率</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、保障农村饮水安全</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通过实施农村饮水安全项目，解决农村居民饮水安全问题。</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农村饮用水安全工程完成量</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已完成的农村饮用水安全工程占计划完成量的比率</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、水利工程运行与维护</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组织实施水利工程运行与维护。保障水利工程安全运行。</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水利工程运行与维护工作完成率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水利工程运行维护项目实际完成量占年度计划完成量的比例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&lt;80%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十九、税收征管</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组织全乡税收、社会保险费及所管基金（费、附加）收入工作，制定乡域地方税收中长期发展规划、年度收入计划并组织实施</w:t>
            </w:r>
            <w:r>
              <w:rPr>
                <w:rFonts w:ascii="方正书宋_GBK" w:eastAsia="方正书宋_GBK"/>
              </w:rPr>
              <w:t>;</w:t>
            </w:r>
            <w:r>
              <w:rPr>
                <w:rFonts w:ascii="方正书宋_GBK" w:eastAsia="方正书宋_GBK" w:hint="eastAsia"/>
              </w:rPr>
              <w:t>规划和组织实施纳税服务体系建设，对纳税人进行分类管理和专业化服务。</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组织税收、社会保险费及所管基金（费、附加）收入，实现年初工作目标。</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、税收征管</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全乡地方税费收入，加强经济形势跟踪分析和部门协调配合，发挥社会参与作用，组织相关协税护税单位和个人协助征收，提高征管效率和质量；落实组织收入原则，依法征税，提高收入质量，实现应收尽收。开展纳税评估和税收调查工</w:t>
            </w:r>
            <w:r>
              <w:rPr>
                <w:rFonts w:ascii="方正书宋_GBK" w:eastAsia="方正书宋_GBK" w:hint="eastAsia"/>
              </w:rPr>
              <w:lastRenderedPageBreak/>
              <w:t>作，运用数据信息对比分析等方法，了解全乡税源状况，科学预测税收发展趋势，剖析税收薄弱环节，提出征管建议，实现堵漏增收。</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第三方涉税信息采集量</w:t>
            </w:r>
            <w:r>
              <w:rPr>
                <w:rFonts w:ascii="方正书宋_GBK" w:eastAsia="方正书宋_GBK"/>
              </w:rPr>
              <w:t>(</w:t>
            </w:r>
            <w:r>
              <w:rPr>
                <w:rFonts w:ascii="方正书宋_GBK" w:eastAsia="方正书宋_GBK" w:hint="eastAsia"/>
              </w:rPr>
              <w:t>量）</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获取第三方涉税信息，强化第三方涉税信息利用工作。</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2</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1</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、税收征管</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全乡地方税费收入，加强经济形势跟踪分析和部门协调配合，发挥社会参与作用，组织相关协税护税单位和个人协助征收，提高征管效率和质量；落实组织收入原则，依法征税，提高收入质量，实现应收尽收。开展纳税评估和税收调查工作，运用数据信息对比分析等方法，了解全乡税源状况，科学预测税收发展趋势，剖析税收薄弱环节，提出征管建议，实现堵漏增收。</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乡分调整税收计划完成率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实际完成税收收入占乡分调整税收计划的比例。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二十、税收政策贯彻执行及研究</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贯彻执行国家有关税收法律、法规、规章，落实省地方税务机关制定的具体相应政策方案，组织税收理论、政策、制度研究和税法宣传。</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全面贯彻执行国家有关税收法律、法规、规章。</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、税收政策贯彻执行</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加强对税务人员及纳税人新政策、新规定的培训；拟定本乡具体方案，贯彻落实综合性税收征管法律法规、规范性文件，做好各种政策资料、征管档案资料、税收业务表证单书管理</w:t>
            </w:r>
            <w:r>
              <w:rPr>
                <w:rFonts w:ascii="方正书宋_GBK" w:eastAsia="方正书宋_GBK" w:hint="eastAsia"/>
              </w:rPr>
              <w:lastRenderedPageBreak/>
              <w:t>等工作；负责全乡地税依法行政工作</w:t>
            </w:r>
            <w:r>
              <w:rPr>
                <w:rFonts w:ascii="方正书宋_GBK" w:eastAsia="方正书宋_GBK"/>
              </w:rPr>
              <w:t>,</w:t>
            </w:r>
            <w:r>
              <w:rPr>
                <w:rFonts w:ascii="方正书宋_GBK" w:eastAsia="方正书宋_GBK" w:hint="eastAsia"/>
              </w:rPr>
              <w:t>聘请法律顾问，组织税务行政处罚、行政复议和行政诉讼工作。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国地税合作改革任务完成率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已完成国地税合作改革任务占计划完成任务的比率</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、税收政策贯彻执行</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对税务人员及纳税人新政策、新规定的培训；拟定本乡具体方案，贯彻落实综合性税收征管法律法规、规范性文件，做好各种政策资料、征管档案资料、税收业务表证单书管理等工作；负责全乡地税依法行政工作</w:t>
            </w:r>
            <w:r>
              <w:rPr>
                <w:rFonts w:ascii="方正书宋_GBK" w:eastAsia="方正书宋_GBK"/>
              </w:rPr>
              <w:t>,</w:t>
            </w:r>
            <w:r>
              <w:rPr>
                <w:rFonts w:ascii="方正书宋_GBK" w:eastAsia="方正书宋_GBK" w:hint="eastAsia"/>
              </w:rPr>
              <w:t>聘请法律顾问，组织税务行政处罚、行政复议和行政诉讼工作。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培训任务完成率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已完成的税收培训任务占计划完成的税收培训任务的比例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、税务政策研究与税务宣传</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开展全乡税收基础理论、应用理论和全乡地方税收政策研究工作。积极开展税收宣传、普法宣传，认真组织税收宣传月等宣传活动，对纳税事项进行公告，对税务工作进行整体宣传。</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宣传任务完成率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已完成宣传任务占计划完成宣传任务的比率</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、税收政策贯彻执行</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对税务人员及纳税人新政策、新规定的培训；拟定本乡具体方案，贯彻落实综合性税收征管法律法规、规范性文件，做好各种政策资料、征管档案资料、税收业务表证单书管理等工作；负责全乡地税依法行政工作</w:t>
            </w:r>
            <w:r>
              <w:rPr>
                <w:rFonts w:ascii="方正书宋_GBK" w:eastAsia="方正书宋_GBK"/>
              </w:rPr>
              <w:t>,</w:t>
            </w:r>
            <w:r>
              <w:rPr>
                <w:rFonts w:ascii="方正书宋_GBK" w:eastAsia="方正书宋_GBK" w:hint="eastAsia"/>
              </w:rPr>
              <w:t>聘请法律顾问，组织税</w:t>
            </w:r>
            <w:r>
              <w:rPr>
                <w:rFonts w:ascii="方正书宋_GBK" w:eastAsia="方正书宋_GBK" w:hint="eastAsia"/>
              </w:rPr>
              <w:lastRenderedPageBreak/>
              <w:t>务行政处罚、行政复议和行政诉讼工作。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政策传达落实率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税收政策的有效传达与落实完成数量占需传达、落实数量的比例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二十一、土地资源管理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组织实施耕地与基本农田保护工作</w:t>
            </w:r>
            <w:r>
              <w:rPr>
                <w:rFonts w:ascii="方正书宋_GBK" w:eastAsia="方正书宋_GBK"/>
              </w:rPr>
              <w:t>,</w:t>
            </w:r>
            <w:r>
              <w:rPr>
                <w:rFonts w:ascii="方正书宋_GBK" w:eastAsia="方正书宋_GBK" w:hint="eastAsia"/>
              </w:rPr>
              <w:t>组织建设用地审批，做好地籍管理工作和土地利用管理工作。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实现基本农田面积不减少，各行业合理用地需求得到保障，及时掌握全乡城乡土地变更信息，进一步提高土地节约集约利用水平。</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、土地利用管理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监测全乡地价和土地市场动态，管理和监督城乡建设用地供应、政府土地储备、土地开发和节约集约利用，组织实施城乡建设用地增减挂钩。</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城乡建设用地增减挂钩工作完成率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实际完成工作占计划工作任务的比例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、耕地与基本农田保护</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开展全乡基本农田保护和土地整理、复垦、开发工作，监测耕地质量等边变化，研究耕地保护相关制度。</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耕地质量等别更新与检测完成率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年度实际等别更新与监测数占计划数的比例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、土地利用管理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监测全乡地价和土地市场动态，管理和监督城乡建设用地供应、政府土地储备、土地开发和节约集约利用，组织实施城乡建设用地增减挂钩。</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评价成果乡级汇总与分析更新完成情况</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已完成评价成果乡级汇总与分析更新的数占计划完成数的比例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、耕地与基本农田保护</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开展全乡基本农田保护和土地整理、复垦、开发工作，监测耕地质量等边变化，研究耕地保护相关制度。</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土地复垦方案审查通过率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通过审查的土地复垦方案占每年上报土地复垦方案数量的比例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二十二、推进新农村建</w:t>
            </w:r>
            <w:r>
              <w:rPr>
                <w:rFonts w:ascii="方正书宋_GBK" w:eastAsia="方正书宋_GBK" w:hint="eastAsia"/>
                <w:b/>
              </w:rPr>
              <w:lastRenderedPageBreak/>
              <w:t>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通过实施农村面貌改造提升行</w:t>
            </w:r>
            <w:r>
              <w:rPr>
                <w:rFonts w:ascii="方正书宋_GBK" w:eastAsia="方正书宋_GBK" w:hint="eastAsia"/>
              </w:rPr>
              <w:lastRenderedPageBreak/>
              <w:t>动和开展新民居中心村示范点建设，加快建设社会主义新农村。</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通过实施农村面貌改造提升行</w:t>
            </w:r>
            <w:r>
              <w:rPr>
                <w:rFonts w:ascii="方正书宋_GBK" w:eastAsia="方正书宋_GBK" w:hint="eastAsia"/>
              </w:rPr>
              <w:lastRenderedPageBreak/>
              <w:t>动和开展新民居中心村示范点建设，加快建设社会主义新农村。改善农村环境面貌，提升农民生产生活条件。</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、美丽乡村建设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按照统筹城乡发展要求，以“环境美、产业美、精神美、生态美”为重点，大力推进美丽乡村建设。</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美丽乡村建设达标率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达标的美丽乡村数占年度建设任务的比例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、新民居中心村建设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推进新民居中心村示范工程建设，打造一批符合全面小康要求的新型农村社区和美丽乡村。</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新启动中心村示范点开工率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当年按规定要求完成开工任务的中心村示范点占全部新启动中心村示范点的比例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、新民居中心村建设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推进新民居中心村示范工程建设，打造一批符合全面小康要求的新型农村社区和美丽乡村。</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中心村示范点任务完成率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当年按计划要求完成任务的中心村示范点占其全部任务的比例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&lt;60%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、美丽乡村建设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按照统筹城乡发展要求，以“环境美、产业美、精神美、生态美”为重点，大力推进美丽乡村建设。</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重点村改造提升任务完成率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当年完成建设任务的重点村占年度任务的比例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二十三、维护社会稳定</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指导、协调和督导全乡各级各部门排查、化解影响社会的重大不稳定隐患、群体性事件和突发事件及影响社会稳定的事</w:t>
            </w:r>
            <w:r>
              <w:rPr>
                <w:rFonts w:ascii="方正书宋_GBK" w:eastAsia="方正书宋_GBK" w:hint="eastAsia"/>
              </w:rPr>
              <w:lastRenderedPageBreak/>
              <w:t>件。</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通过指导、协调和督导各级各部门，预防减少不稳定因素的发生，有效化解不稳定隐患、群体性事件和突发事件，同时</w:t>
            </w:r>
            <w:r>
              <w:rPr>
                <w:rFonts w:ascii="方正书宋_GBK" w:eastAsia="方正书宋_GBK" w:hint="eastAsia"/>
              </w:rPr>
              <w:lastRenderedPageBreak/>
              <w:t>全力做好乡内各种重大活动安保工作，确保社会稳定。</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、对各类涉稳情报信息收集、研判、通报</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搜集、综合、核实、研判影响我乡社会稳定的各种情报信息，对社情、民情、敌情、舆情进行分析、研判、通报。</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情报信息研判率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研判信息占搜集信息总数的比例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、协调督导重大不稳定隐患、群体性事件和突发事件的处置化解</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对可能影响社会稳定的各种因素进行分析和评估，协调督导有关乡乡和相关职能部门对重大不稳定隐患、群体性事件和突发事件进行妥善处置。</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协调督导事项化解率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化解事项占督导事项总数的比例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&lt;65%</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、重大活动安保</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做好我乡各类重大活动间的安全保卫工作，不断完善相关工作机制。</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重大安保任务完成率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完成的安保任务占任务总数的比例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二十四、卫生计生政务</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拟定卫生计生改革与发展目标、规划，组织指导相关工作开展，承担政务公开和业务宣传工作，加强卫生计生能力建设。</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保障卫生计生事业稳定发展。</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、卫生计生人才队伍及科研能力建设</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开展卫生计生人才招聘、培训，组织继续医学教育和适宜技术推广等工作。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雇佣基层医疗、计生适宜技术人才数量</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雇佣基层医疗、计生适宜技术人才数量</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2</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1</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、卫生计生综合事务管理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开展卫生计生信息化、基础设施、装备管理与配置等各项工作。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卫生计生系统软硬件服务能力提升情况</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年度内卫生计生系统软硬件服务能力与上一年度相比较</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否</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、卫生计生综合监</w:t>
            </w:r>
            <w:r>
              <w:rPr>
                <w:rFonts w:ascii="方正书宋_GBK" w:eastAsia="方正书宋_GBK" w:hint="eastAsia"/>
                <w:b/>
              </w:rPr>
              <w:lastRenderedPageBreak/>
              <w:t>督</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监督卫生计生相关法律法规落</w:t>
            </w:r>
            <w:r>
              <w:rPr>
                <w:rFonts w:ascii="方正书宋_GBK" w:eastAsia="方正书宋_GBK" w:hint="eastAsia"/>
              </w:rPr>
              <w:lastRenderedPageBreak/>
              <w:t>实情况，督办重大卫生计生违法案件，指导和规范卫生计生人员执法行为，坚持计划生育目标管理责任制。</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职业卫生服务机构考核率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实际参加专</w:t>
            </w:r>
            <w:r>
              <w:rPr>
                <w:rFonts w:ascii="方正书宋_GBK" w:eastAsia="方正书宋_GBK" w:hint="eastAsia"/>
              </w:rPr>
              <w:lastRenderedPageBreak/>
              <w:t>业技术人员考核的人数占应参总人数的比例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lastRenderedPageBreak/>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二十五、文化艺术管理</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67.01</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管理和指导全乡文化建设，推进文化发展环境能力建设，提供公共文化服务、文化艺术资源建设和文化艺术生产。</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文化发展环境健康向上，文化发展能力不断增强，文化艺术资源丰富，公共文化服务和文化艺术生产水平不断提高。</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、公共文化服务</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67.01</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规划、推动全乡各级文化服务机构、设施和队伍建设，创新公共文化服务模式，建立公共文化资源共享机制，健全公共文化服务网络。组织指导公共文化产品生产，提供文化服务</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公共文化场馆免费率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公共图书馆、美术馆、文化馆、乡镇综合文化站免费开放个数占全部公共文化场馆个数的比例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、公共文化服务</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规划、推动全乡各级文化服务机构、设施和队伍建设，创新公共文化服务模式，建立公共文化资源共享机制，健全公共文化服务网络。组织指导公共文化产品生产，提供文化服务</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公共文化服务活动数量（场次）</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各类公共文化服务活动组织开展数量</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&lt;6</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二十六、污染减排</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通过淘汰落后产能、提高企业清洁生产和污染物排放标准等措施，推进主要污染物减排，促进结构调整和加快转变经济发展方式。</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实现污染减排目标。研究新型清洁生产技术，提高清洁生产管理水平。</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、清洁生产促进及技术研究</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对重点企业进行清洁生产审核及污染防治对标评估验收，提</w:t>
            </w:r>
            <w:r>
              <w:rPr>
                <w:rFonts w:ascii="方正书宋_GBK" w:eastAsia="方正书宋_GBK" w:hint="eastAsia"/>
              </w:rPr>
              <w:lastRenderedPageBreak/>
              <w:t>高重点企业和四大行业污染防治水平</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节能、降耗、减排、增效</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企业通过实施清洁生产</w:t>
            </w:r>
            <w:r>
              <w:rPr>
                <w:rFonts w:ascii="方正书宋_GBK" w:eastAsia="方正书宋_GBK" w:hint="eastAsia"/>
              </w:rPr>
              <w:lastRenderedPageBreak/>
              <w:t>和对标取得了良好的经济效益和环境效益，有效的保障了污染减排目标任务完成、推进了经济转型升级。</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50%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、清洁生产促进及技术研究</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对重点企业进行清洁生产审核及污染防治对标评估验收，提高重点企业和四大行业污染防治水平</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完成清审及对标评估验收、咨询机构核查</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完成重污染企业清洁生产审核和污染防治评估验收工作。</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二十七、信访事务管理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调研提出信访工作对策建议；督促检查和指导全乡信访工作；机关日常工作。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进一步提高信访干部业务能力；吸收可行建议，改进信访工作；提高信访信息化应用水平，实现办公自动化、网络化智能化。保障机要邮件正常传递和信访群众服务中心正常运转；确保会议正常召开。</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、其他综合事务管理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调研提出信访工作对策建议；督促检查和指导全乡信访工作；信息化建设与运维管理；机要邮件正常传递；负责局机关行政后勤、资产、物业管理。</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其他各项综合实务工作完成率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其他各项综合实务工作完成情况占其他各项综合实务工作任务的比例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二十八、信访问题处理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负责正常信访、非访、突发性及群体性事件的办理；提供相</w:t>
            </w:r>
            <w:r>
              <w:rPr>
                <w:rFonts w:ascii="方正书宋_GBK" w:eastAsia="方正书宋_GBK" w:hint="eastAsia"/>
              </w:rPr>
              <w:lastRenderedPageBreak/>
              <w:t>关服务保障；协助上级信访局处理越级上访；信访事项督查、复查复核、听证；负责县委县政府交办的其他事项。</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畅通信访渠道，减少信访案件，维护社会和谐稳定。</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、信访事项督查、复查复核、听证</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负责指导全乡信访督查、复查复核、听证等工作，并对相关事项进行审核、上报；负责信访疑难案件的督办。</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解决特殊信访疑难问题件数</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反映年度特殊信访疑难问题解决数量（件）</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7</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6</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&lt;6</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、信访业务办理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办理人民群众来信、来访、网上信访；协助上级信访局处理越级上访工作。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信访事项按期结案率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年度内已按期办结的案件数量占案件总数的比例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、处置非访、突发性及群体性事件</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协助公安机关维护重点区域的正常工作秩序；处置影响社会政治稳定的各类非访、突发性、群体性事件；负责组织协调、稳控劝返、服务保障我乡越级非访工作。承办乡联席办的日常工作。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信访事项受理及时率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及时受理的信访事项数量占信访事项数量的比例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&lt;71%</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二十九、义务教育</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以农村教育为重点，推进义务教育均衡发展，建立中小学校舍维修长效机制，改善贫困地区义务教育薄弱学校办学条件，促进公共教育资源向农村和经济欠发达地区倾斜。</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完善城乡义务教育经费保障机制，提高贫困寄宿生资助面。加大资金投入力度，加快改善贫困地区义务教育薄弱学校基本办学条件。促进特殊教育和民族教育发展。推进教育扶贫工程，促进贫困地区教育事业发展。</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、发展城乡义务教</w:t>
            </w:r>
            <w:r>
              <w:rPr>
                <w:rFonts w:ascii="方正书宋_GBK" w:eastAsia="方正书宋_GBK" w:hint="eastAsia"/>
                <w:b/>
              </w:rPr>
              <w:lastRenderedPageBreak/>
              <w:t>育</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完善城乡义务教育经费保障机</w:t>
            </w:r>
            <w:r>
              <w:rPr>
                <w:rFonts w:ascii="方正书宋_GBK" w:eastAsia="方正书宋_GBK" w:hint="eastAsia"/>
              </w:rPr>
              <w:lastRenderedPageBreak/>
              <w:t>制，保障农村中小学正常运转，保证学校校舍安全，资助家庭经济困难寄宿学生，向农村义务教育学生和城市区家庭经济困难学生免费提供教科书；中小学公用经费保障水平逐年提高。推进教育扶贫。</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新建、改扩建、维修校舍面积</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当年新建、改</w:t>
            </w:r>
            <w:r>
              <w:rPr>
                <w:rFonts w:ascii="方正书宋_GBK" w:eastAsia="方正书宋_GBK" w:hint="eastAsia"/>
              </w:rPr>
              <w:lastRenderedPageBreak/>
              <w:t>扩建、维修的学校校舍的面积</w:t>
            </w: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、改善薄弱学校办学条件</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保障义务教育阶段薄弱学校基本教学条件，改善学校生活设施，办好必要的教学点，解决城乡学校大班额问题，推进农村学校教育信息化。</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新建、改扩建中小学校舍面积</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新建、改扩建中小学校舍的面积</w:t>
            </w: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、改善薄弱学校办学条件</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保障义务教育阶段薄弱学校基本教学条件，改善学校生活设施，办好必要的教学点，解决城乡学校大班额问题，推进农村学校教育信息化。</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中小学教学设备、图书购置数量</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新增购置中小学教学设备、图书等数量</w:t>
            </w: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三十、指导推进农村改革</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59.50</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全面深化农村重点领域、关键环节改革，加快推进农业农村体制机制创新，增强全省农村经济社会发展活力。</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全面深化农村重点领域、关键环节改革，加快推进农业农村体制机制创新，增强全省农村经济社会发展活力。使农业增效、农民增收、农村增活力。</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、对村民委员会和村党支部补助</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59.50</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对村民委员会和村党支部补助</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村民委员会和村党支部补助资金使用率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村民委员会和村党支部补助资金使用完成率</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&lt;60%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三十一、自然生态保护</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强化生态保护和监察监管，提高自然保护区建设水平，加强生物多样性保护力度，提升农</w:t>
            </w:r>
            <w:r>
              <w:rPr>
                <w:rFonts w:ascii="方正书宋_GBK" w:eastAsia="方正书宋_GBK" w:hint="eastAsia"/>
              </w:rPr>
              <w:lastRenderedPageBreak/>
              <w:t>村生态环境质量。统筹推进我县污染治理与生态保护和建设同步发展，实现环境质量的总体改善。</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加强自然生态保护。根据我县环境形势，组织制定相关生态环境保护政策。统筹推进我县</w:t>
            </w:r>
            <w:r>
              <w:rPr>
                <w:rFonts w:ascii="方正书宋_GBK" w:eastAsia="方正书宋_GBK" w:hint="eastAsia"/>
              </w:rPr>
              <w:lastRenderedPageBreak/>
              <w:t>污染治理与生态保护和建设同步发展，实现环境质量的总体改善。解决农村区域性突出环境问题。</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、农村环境综合整治</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解决影响群众生活和健康较为直接的饮用水安全保障、生活垃圾和污水治理、畜禽养殖污染治理防治等突出环境问题，改善环境重点、敏感区域的农村人居和生态环境质量。</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试点、示范区域村庄垃圾收集、处理率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村庄垃圾收集、处理完成情况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三十二、综合业务、事务管理</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44.00</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紧紧围绕乡政府中心工作，积极协调乡领导谋大事，解难事，不断提高参政水平，努力为领导提供服务层次和优质服务。</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以服务领导和机关保障有力为目标，增强优质后勤管理水平，通过加强公车管理，降低运行成本，为创建节约型机关打下了良好的基础。采取保障乡政府领导和机关工作办公环境的措施，提升服务管理水平，保障乡领导和机关工作的正常运转。及时了解国内外形势、党和国家的方针政策以及上级重要部署和要求，及时为老干部提供优质高效服务。</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、综合业务、事务管理</w:t>
            </w:r>
          </w:p>
        </w:tc>
        <w:tc>
          <w:tcPr>
            <w:tcW w:w="1276" w:type="dxa"/>
            <w:vAlign w:val="center"/>
          </w:tcPr>
          <w:p w:rsidR="00BE1FE1" w:rsidRDefault="00BE1FE1">
            <w:pPr>
              <w:spacing w:line="300" w:lineRule="exact"/>
              <w:jc w:val="left"/>
              <w:rPr>
                <w:rFonts w:ascii="方正书宋_GBK" w:eastAsia="方正书宋_GBK"/>
              </w:rPr>
            </w:pPr>
            <w:r>
              <w:rPr>
                <w:rFonts w:ascii="方正书宋_GBK" w:eastAsia="方正书宋_GBK"/>
              </w:rPr>
              <w:t>44.00</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协助乡政府领导组织起草或审核以乡政府、乡政府办公室名义发布的公文；办理乡政府各部门和乡乡报送的文电；对乡政府部门间出现的争议问题提出处理意见；组织起草乡政府领导重要讲话及其他重要文</w:t>
            </w:r>
            <w:r>
              <w:rPr>
                <w:rFonts w:ascii="方正书宋_GBK" w:eastAsia="方正书宋_GBK" w:hint="eastAsia"/>
              </w:rPr>
              <w:lastRenderedPageBreak/>
              <w:t>稿；组织专题调研；承办乡政府领导交办的其他事项。</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各项综合业务管理工作完成率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综合业务工作任务完成情况</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三十三、组织全县安全生产综合监督管理</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职业危害事故和违法违规行为；组织查处用人单位职业病危害事故。</w:t>
            </w:r>
            <w:r>
              <w:rPr>
                <w:rFonts w:ascii="方正书宋_GBK" w:eastAsia="方正书宋_GBK"/>
              </w:rPr>
              <w:t xml:space="preserve">  </w:t>
            </w:r>
            <w:r>
              <w:rPr>
                <w:rFonts w:ascii="方正书宋_GBK" w:eastAsia="方正书宋_GBK" w:hint="eastAsia"/>
              </w:rPr>
              <w:t>组织制订全县各行业隐患排查标准；组织开展安全生产事故专项调查；提出安全生产举报奖励意见；开展安全生产宣传教育活动，定期向社会公布安全生产重大事项情况；组织对安全生产责任人</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、加强安全生产执法监察检查</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定期组织在全县开展安全生产督导检查活动，对重点行业和作业场所职业卫生安全生产进行督导检查，加强行政执法监察，依法对违法行为实施行政处罚；不断加强安全生产监管能力建设，改善执法检测、监</w:t>
            </w:r>
            <w:r>
              <w:rPr>
                <w:rFonts w:ascii="方正书宋_GBK" w:eastAsia="方正书宋_GBK" w:hint="eastAsia"/>
              </w:rPr>
              <w:lastRenderedPageBreak/>
              <w:t>察检查等能力。</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lastRenderedPageBreak/>
              <w:t>生产经营单位执法检查率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当年实际执法检查的生产经营单位数与应检查单位总数的比例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三十四、城乡规划</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组织乡域城镇体系规划编制，参与各级、各部门依法编制总体规划、专项规划、控制性详细规划、历史文化名城和街区保护规划等。对由乡政府审批的规划进行监督实施。</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加强城乡规划管理，协调城乡空间布局，改善人居环境，促进城乡经济社会全面协调可持续发展。</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、城乡资源保护</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城镇古树名木、风景名胜、历史文化名城和街区保护工程开工率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城镇古树名木和风景名胜、历史文化名城和街区年度实际实施数量占年度既定</w:t>
            </w:r>
            <w:r>
              <w:rPr>
                <w:rFonts w:ascii="方正书宋_GBK" w:eastAsia="方正书宋_GBK"/>
              </w:rPr>
              <w:t>(</w:t>
            </w:r>
            <w:r>
              <w:rPr>
                <w:rFonts w:ascii="方正书宋_GBK" w:eastAsia="方正书宋_GBK" w:hint="eastAsia"/>
              </w:rPr>
              <w:t>质量</w:t>
            </w:r>
            <w:r>
              <w:rPr>
                <w:rFonts w:ascii="方正书宋_GBK" w:eastAsia="方正书宋_GBK"/>
              </w:rPr>
              <w:t>)</w:t>
            </w:r>
            <w:r>
              <w:rPr>
                <w:rFonts w:ascii="方正书宋_GBK" w:eastAsia="方正书宋_GBK" w:hint="eastAsia"/>
              </w:rPr>
              <w:t>目标的比例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&lt;50%</w:t>
            </w: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三十五、人大会议</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乡人民代表大会和常务委员会各种会议的筹备、会务工作，负责常委会文件起草、审核把关，常委会会议、主任会议及常委会党组会议决定事项、工作部署、重要文件及领导批示的传达和督办。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完善各项会议制度，规范会议程序，提高会议质量，提高人大代表及常委会审议水平。</w:t>
            </w:r>
          </w:p>
        </w:tc>
        <w:tc>
          <w:tcPr>
            <w:tcW w:w="1417" w:type="dxa"/>
            <w:vAlign w:val="center"/>
          </w:tcPr>
          <w:p w:rsidR="00BE1FE1" w:rsidRDefault="00BE1FE1">
            <w:pPr>
              <w:spacing w:line="300" w:lineRule="exact"/>
              <w:jc w:val="left"/>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c>
          <w:tcPr>
            <w:tcW w:w="737" w:type="dxa"/>
            <w:vAlign w:val="center"/>
          </w:tcPr>
          <w:p w:rsidR="00BE1FE1" w:rsidRDefault="00BE1FE1">
            <w:pPr>
              <w:spacing w:line="300" w:lineRule="exact"/>
              <w:jc w:val="center"/>
              <w:rPr>
                <w:rFonts w:ascii="方正书宋_GBK" w:eastAsia="方正书宋_GBK"/>
              </w:rPr>
            </w:pPr>
          </w:p>
        </w:tc>
      </w:tr>
      <w:tr w:rsidR="00BE1FE1">
        <w:trPr>
          <w:trHeight w:val="227"/>
          <w:jc w:val="center"/>
        </w:trPr>
        <w:tc>
          <w:tcPr>
            <w:tcW w:w="2341" w:type="dxa"/>
            <w:vAlign w:val="center"/>
          </w:tcPr>
          <w:p w:rsidR="00BE1FE1" w:rsidRDefault="00BE1FE1">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、人大会议</w:t>
            </w:r>
          </w:p>
        </w:tc>
        <w:tc>
          <w:tcPr>
            <w:tcW w:w="1276" w:type="dxa"/>
            <w:vAlign w:val="center"/>
          </w:tcPr>
          <w:p w:rsidR="00BE1FE1" w:rsidRDefault="00BE1FE1">
            <w:pPr>
              <w:spacing w:line="300" w:lineRule="exact"/>
              <w:jc w:val="left"/>
              <w:rPr>
                <w:rFonts w:ascii="方正书宋_GBK" w:eastAsia="方正书宋_GBK"/>
              </w:rPr>
            </w:pP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承担乡人民代表大会和常务委员会各种会议的筹备、会务工作，负责常委会文件起草、审核把关，常委会会议、主任会议及常委会党组会议决定事项、工作部署、重要文件及领导批示的传达和督办。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会议筹备及会务工作的完成率</w:t>
            </w:r>
          </w:p>
        </w:tc>
        <w:tc>
          <w:tcPr>
            <w:tcW w:w="1417" w:type="dxa"/>
            <w:vAlign w:val="center"/>
          </w:tcPr>
          <w:p w:rsidR="00BE1FE1" w:rsidRDefault="00BE1FE1">
            <w:pPr>
              <w:spacing w:line="300" w:lineRule="exact"/>
              <w:jc w:val="left"/>
              <w:rPr>
                <w:rFonts w:ascii="方正书宋_GBK" w:eastAsia="方正书宋_GBK"/>
              </w:rPr>
            </w:pPr>
            <w:r>
              <w:rPr>
                <w:rFonts w:ascii="方正书宋_GBK" w:eastAsia="方正书宋_GBK" w:hint="eastAsia"/>
              </w:rPr>
              <w:t>已完成的会议筹备及会务工作量占计划量的比例</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E1FE1" w:rsidRDefault="00BE1FE1">
            <w:pPr>
              <w:spacing w:line="300" w:lineRule="exact"/>
              <w:jc w:val="center"/>
              <w:rPr>
                <w:rFonts w:ascii="方正书宋_GBK" w:eastAsia="方正书宋_GBK"/>
              </w:rPr>
            </w:pPr>
            <w:r>
              <w:rPr>
                <w:rFonts w:ascii="方正书宋_GBK" w:eastAsia="方正书宋_GBK"/>
              </w:rPr>
              <w:t>&lt;90%</w:t>
            </w:r>
          </w:p>
        </w:tc>
        <w:tc>
          <w:tcPr>
            <w:tcW w:w="737" w:type="dxa"/>
            <w:vAlign w:val="center"/>
          </w:tcPr>
          <w:p w:rsidR="00BE1FE1" w:rsidRDefault="00BE1FE1">
            <w:pPr>
              <w:spacing w:line="300" w:lineRule="exact"/>
              <w:jc w:val="center"/>
              <w:rPr>
                <w:rFonts w:ascii="方正书宋_GBK" w:eastAsia="方正书宋_GBK"/>
              </w:rPr>
            </w:pPr>
          </w:p>
        </w:tc>
      </w:tr>
    </w:tbl>
    <w:p w:rsidR="00BE1FE1" w:rsidRDefault="00BE1FE1">
      <w:pPr>
        <w:spacing w:line="300" w:lineRule="exact"/>
        <w:jc w:val="left"/>
        <w:outlineLvl w:val="0"/>
        <w:sectPr w:rsidR="00BE1FE1">
          <w:pgSz w:w="16839" w:h="11907" w:orient="landscape"/>
          <w:pgMar w:top="1020" w:right="1361" w:bottom="1020" w:left="1361" w:header="851" w:footer="992" w:gutter="0"/>
          <w:cols w:space="720"/>
          <w:docGrid w:type="lines" w:linePitch="312"/>
        </w:sectPr>
      </w:pPr>
    </w:p>
    <w:p w:rsidR="00BE1FE1" w:rsidRDefault="00BE1FE1" w:rsidP="005579D5">
      <w:pPr>
        <w:ind w:firstLineChars="200" w:firstLine="640"/>
        <w:rPr>
          <w:rFonts w:ascii="黑体" w:eastAsia="黑体" w:hAnsi="黑体"/>
          <w:sz w:val="32"/>
          <w:szCs w:val="32"/>
        </w:rPr>
      </w:pPr>
      <w:r>
        <w:rPr>
          <w:rFonts w:ascii="黑体" w:eastAsia="黑体" w:hAnsi="黑体" w:hint="eastAsia"/>
          <w:sz w:val="32"/>
          <w:szCs w:val="32"/>
        </w:rPr>
        <w:lastRenderedPageBreak/>
        <w:t>六、政府采购预算情况</w:t>
      </w:r>
    </w:p>
    <w:p w:rsidR="00BE1FE1" w:rsidRDefault="00BE1FE1" w:rsidP="00621CD8">
      <w:pPr>
        <w:ind w:firstLineChars="200" w:firstLine="640"/>
        <w:rPr>
          <w:rFonts w:ascii="仿宋_GB2312" w:eastAsia="仿宋_GB2312" w:hAnsi="黑体"/>
          <w:sz w:val="32"/>
          <w:szCs w:val="32"/>
        </w:rPr>
      </w:pPr>
      <w:bookmarkStart w:id="3" w:name="_Toc471398468"/>
      <w:r>
        <w:rPr>
          <w:rFonts w:ascii="仿宋_GB2312" w:eastAsia="仿宋_GB2312" w:hAnsi="Times New Roman"/>
          <w:sz w:val="32"/>
          <w:szCs w:val="32"/>
        </w:rPr>
        <w:t>2018</w:t>
      </w:r>
      <w:r>
        <w:rPr>
          <w:rFonts w:ascii="仿宋_GB2312" w:eastAsia="仿宋_GB2312" w:hAnsi="Times New Roman" w:hint="eastAsia"/>
          <w:sz w:val="32"/>
          <w:szCs w:val="32"/>
        </w:rPr>
        <w:t>年，我部门安排政府采购预算</w:t>
      </w:r>
      <w:r>
        <w:rPr>
          <w:rFonts w:ascii="仿宋_GB2312" w:eastAsia="仿宋_GB2312" w:hAnsi="Times New Roman"/>
          <w:sz w:val="32"/>
          <w:szCs w:val="32"/>
        </w:rPr>
        <w:t>239.35</w:t>
      </w:r>
      <w:r>
        <w:rPr>
          <w:rFonts w:ascii="仿宋_GB2312" w:eastAsia="仿宋_GB2312" w:hAnsi="Times New Roman" w:hint="eastAsia"/>
          <w:sz w:val="32"/>
          <w:szCs w:val="32"/>
        </w:rPr>
        <w:t>万元。具体内容见下表</w:t>
      </w:r>
      <w:r>
        <w:rPr>
          <w:rFonts w:ascii="仿宋_GB2312" w:eastAsia="仿宋_GB2312" w:hAnsi="黑体" w:hint="eastAsia"/>
          <w:sz w:val="32"/>
          <w:szCs w:val="32"/>
        </w:rPr>
        <w:t>。</w:t>
      </w:r>
    </w:p>
    <w:p w:rsidR="00BE1FE1" w:rsidRDefault="00BE1FE1">
      <w:pPr>
        <w:jc w:val="center"/>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部门政府采购预算</w:t>
      </w:r>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90"/>
        <w:gridCol w:w="1068"/>
        <w:gridCol w:w="878"/>
        <w:gridCol w:w="1399"/>
        <w:gridCol w:w="878"/>
        <w:gridCol w:w="878"/>
        <w:gridCol w:w="904"/>
        <w:gridCol w:w="898"/>
        <w:gridCol w:w="898"/>
        <w:gridCol w:w="898"/>
        <w:gridCol w:w="819"/>
        <w:gridCol w:w="881"/>
        <w:gridCol w:w="884"/>
        <w:gridCol w:w="490"/>
      </w:tblGrid>
      <w:tr w:rsidR="00BE1FE1">
        <w:trPr>
          <w:tblHeader/>
          <w:jc w:val="center"/>
        </w:trPr>
        <w:tc>
          <w:tcPr>
            <w:tcW w:w="8395" w:type="dxa"/>
            <w:gridSpan w:val="7"/>
            <w:tcBorders>
              <w:top w:val="single" w:sz="6" w:space="0" w:color="FFFFFF"/>
              <w:left w:val="single" w:sz="6" w:space="0" w:color="FFFFFF"/>
              <w:right w:val="single" w:sz="6" w:space="0" w:color="FFFFFF"/>
            </w:tcBorders>
            <w:vAlign w:val="center"/>
          </w:tcPr>
          <w:p w:rsidR="00BE1FE1" w:rsidRDefault="00BE1FE1">
            <w:pPr>
              <w:spacing w:line="300" w:lineRule="exact"/>
              <w:jc w:val="left"/>
              <w:rPr>
                <w:rFonts w:ascii="方正小标宋_GBK" w:eastAsia="方正小标宋_GBK" w:hAnsi="Times New Roman"/>
                <w:b/>
                <w:sz w:val="18"/>
                <w:szCs w:val="18"/>
              </w:rPr>
            </w:pPr>
            <w:r>
              <w:rPr>
                <w:rFonts w:ascii="宋体" w:hAnsi="宋体" w:cs="宋体" w:hint="eastAsia"/>
                <w:b/>
                <w:kern w:val="0"/>
                <w:sz w:val="18"/>
                <w:szCs w:val="18"/>
              </w:rPr>
              <w:t>编制部门：</w:t>
            </w:r>
            <w:r>
              <w:rPr>
                <w:rFonts w:ascii="宋体" w:hAnsi="宋体" w:cs="宋体"/>
                <w:b/>
                <w:kern w:val="0"/>
                <w:sz w:val="18"/>
                <w:szCs w:val="18"/>
              </w:rPr>
              <w:t>959</w:t>
            </w:r>
            <w:r>
              <w:rPr>
                <w:rFonts w:ascii="宋体" w:hAnsi="宋体" w:cs="宋体" w:hint="eastAsia"/>
                <w:b/>
                <w:kern w:val="0"/>
                <w:sz w:val="18"/>
                <w:szCs w:val="18"/>
              </w:rPr>
              <w:t>霸州市信安镇人民政府</w:t>
            </w:r>
          </w:p>
        </w:tc>
        <w:tc>
          <w:tcPr>
            <w:tcW w:w="5768" w:type="dxa"/>
            <w:gridSpan w:val="7"/>
            <w:tcBorders>
              <w:top w:val="single" w:sz="6" w:space="0" w:color="FFFFFF"/>
              <w:left w:val="single" w:sz="6" w:space="0" w:color="FFFFFF"/>
              <w:right w:val="single" w:sz="6" w:space="0" w:color="FFFFFF"/>
            </w:tcBorders>
            <w:vAlign w:val="center"/>
          </w:tcPr>
          <w:p w:rsidR="00BE1FE1" w:rsidRDefault="00BE1FE1">
            <w:pPr>
              <w:spacing w:line="300" w:lineRule="exact"/>
              <w:jc w:val="right"/>
              <w:rPr>
                <w:rFonts w:ascii="方正小标宋_GBK" w:eastAsia="方正小标宋_GBK" w:hAnsi="Times New Roman"/>
                <w:b/>
                <w:sz w:val="18"/>
                <w:szCs w:val="18"/>
              </w:rPr>
            </w:pPr>
            <w:r>
              <w:rPr>
                <w:rFonts w:ascii="方正小标宋_GBK" w:eastAsia="方正小标宋_GBK" w:hAnsi="Times New Roman" w:hint="eastAsia"/>
                <w:b/>
                <w:sz w:val="18"/>
                <w:szCs w:val="18"/>
              </w:rPr>
              <w:t>单位：万元</w:t>
            </w:r>
          </w:p>
        </w:tc>
      </w:tr>
      <w:tr w:rsidR="00BE1FE1">
        <w:trPr>
          <w:tblHeader/>
          <w:jc w:val="center"/>
        </w:trPr>
        <w:tc>
          <w:tcPr>
            <w:tcW w:w="3458" w:type="dxa"/>
            <w:gridSpan w:val="2"/>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政府采购项目来源</w:t>
            </w:r>
          </w:p>
        </w:tc>
        <w:tc>
          <w:tcPr>
            <w:tcW w:w="878" w:type="dxa"/>
            <w:vMerge w:val="restart"/>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采购物品名称</w:t>
            </w:r>
          </w:p>
        </w:tc>
        <w:tc>
          <w:tcPr>
            <w:tcW w:w="1399" w:type="dxa"/>
            <w:vMerge w:val="restart"/>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政府采购目录序号</w:t>
            </w:r>
          </w:p>
        </w:tc>
        <w:tc>
          <w:tcPr>
            <w:tcW w:w="878" w:type="dxa"/>
            <w:vMerge w:val="restart"/>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数量</w:t>
            </w:r>
            <w:r>
              <w:rPr>
                <w:rFonts w:ascii="方正书宋_GBK" w:eastAsia="方正书宋_GBK" w:hAnsi="Times New Roman"/>
                <w:b/>
                <w:szCs w:val="24"/>
              </w:rPr>
              <w:t xml:space="preserve">  </w:t>
            </w:r>
            <w:r>
              <w:rPr>
                <w:rFonts w:ascii="方正书宋_GBK" w:eastAsia="方正书宋_GBK" w:hAnsi="Times New Roman" w:hint="eastAsia"/>
                <w:b/>
                <w:szCs w:val="24"/>
              </w:rPr>
              <w:t>单位</w:t>
            </w:r>
          </w:p>
        </w:tc>
        <w:tc>
          <w:tcPr>
            <w:tcW w:w="878" w:type="dxa"/>
            <w:vMerge w:val="restart"/>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数量</w:t>
            </w:r>
          </w:p>
        </w:tc>
        <w:tc>
          <w:tcPr>
            <w:tcW w:w="904" w:type="dxa"/>
            <w:vMerge w:val="restart"/>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单价</w:t>
            </w:r>
          </w:p>
        </w:tc>
        <w:tc>
          <w:tcPr>
            <w:tcW w:w="5768" w:type="dxa"/>
            <w:gridSpan w:val="7"/>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政府采购金额</w:t>
            </w:r>
          </w:p>
        </w:tc>
      </w:tr>
      <w:tr w:rsidR="00BE1FE1">
        <w:trPr>
          <w:tblHeader/>
          <w:jc w:val="center"/>
        </w:trPr>
        <w:tc>
          <w:tcPr>
            <w:tcW w:w="2390" w:type="dxa"/>
            <w:vMerge w:val="restart"/>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项目名称</w:t>
            </w:r>
          </w:p>
        </w:tc>
        <w:tc>
          <w:tcPr>
            <w:tcW w:w="1068" w:type="dxa"/>
            <w:vMerge w:val="restart"/>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预算资金</w:t>
            </w:r>
          </w:p>
        </w:tc>
        <w:tc>
          <w:tcPr>
            <w:tcW w:w="878" w:type="dxa"/>
            <w:vMerge/>
            <w:vAlign w:val="center"/>
          </w:tcPr>
          <w:p w:rsidR="00BE1FE1" w:rsidRDefault="00BE1FE1">
            <w:pPr>
              <w:spacing w:line="300" w:lineRule="exact"/>
              <w:jc w:val="left"/>
              <w:outlineLvl w:val="0"/>
              <w:rPr>
                <w:rFonts w:ascii="Times New Roman" w:hAnsi="Times New Roman"/>
                <w:szCs w:val="24"/>
              </w:rPr>
            </w:pPr>
          </w:p>
        </w:tc>
        <w:tc>
          <w:tcPr>
            <w:tcW w:w="1399" w:type="dxa"/>
            <w:vMerge/>
            <w:vAlign w:val="center"/>
          </w:tcPr>
          <w:p w:rsidR="00BE1FE1" w:rsidRDefault="00BE1FE1">
            <w:pPr>
              <w:spacing w:line="300" w:lineRule="exact"/>
              <w:jc w:val="left"/>
              <w:outlineLvl w:val="0"/>
              <w:rPr>
                <w:rFonts w:ascii="Times New Roman" w:hAnsi="Times New Roman"/>
                <w:szCs w:val="24"/>
              </w:rPr>
            </w:pPr>
          </w:p>
        </w:tc>
        <w:tc>
          <w:tcPr>
            <w:tcW w:w="878" w:type="dxa"/>
            <w:vMerge/>
            <w:vAlign w:val="center"/>
          </w:tcPr>
          <w:p w:rsidR="00BE1FE1" w:rsidRDefault="00BE1FE1">
            <w:pPr>
              <w:spacing w:line="300" w:lineRule="exact"/>
              <w:jc w:val="left"/>
              <w:outlineLvl w:val="0"/>
              <w:rPr>
                <w:rFonts w:ascii="Times New Roman" w:hAnsi="Times New Roman"/>
                <w:szCs w:val="24"/>
              </w:rPr>
            </w:pPr>
          </w:p>
        </w:tc>
        <w:tc>
          <w:tcPr>
            <w:tcW w:w="878" w:type="dxa"/>
            <w:vMerge/>
            <w:vAlign w:val="center"/>
          </w:tcPr>
          <w:p w:rsidR="00BE1FE1" w:rsidRDefault="00BE1FE1">
            <w:pPr>
              <w:spacing w:line="300" w:lineRule="exact"/>
              <w:jc w:val="left"/>
              <w:outlineLvl w:val="0"/>
              <w:rPr>
                <w:rFonts w:ascii="Times New Roman" w:hAnsi="Times New Roman"/>
                <w:szCs w:val="24"/>
              </w:rPr>
            </w:pPr>
          </w:p>
        </w:tc>
        <w:tc>
          <w:tcPr>
            <w:tcW w:w="904" w:type="dxa"/>
            <w:vMerge/>
            <w:vAlign w:val="center"/>
          </w:tcPr>
          <w:p w:rsidR="00BE1FE1" w:rsidRDefault="00BE1FE1">
            <w:pPr>
              <w:spacing w:line="300" w:lineRule="exact"/>
              <w:jc w:val="left"/>
              <w:outlineLvl w:val="0"/>
              <w:rPr>
                <w:rFonts w:ascii="Times New Roman" w:hAnsi="Times New Roman"/>
                <w:szCs w:val="24"/>
              </w:rPr>
            </w:pPr>
          </w:p>
        </w:tc>
        <w:tc>
          <w:tcPr>
            <w:tcW w:w="898" w:type="dxa"/>
            <w:vMerge w:val="restart"/>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总计</w:t>
            </w:r>
          </w:p>
        </w:tc>
        <w:tc>
          <w:tcPr>
            <w:tcW w:w="4380" w:type="dxa"/>
            <w:gridSpan w:val="5"/>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当年部门预算安排资金</w:t>
            </w:r>
          </w:p>
        </w:tc>
        <w:tc>
          <w:tcPr>
            <w:tcW w:w="490" w:type="dxa"/>
            <w:vMerge w:val="restart"/>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其他渠道资金</w:t>
            </w:r>
          </w:p>
        </w:tc>
      </w:tr>
      <w:tr w:rsidR="00BE1FE1">
        <w:trPr>
          <w:tblHeader/>
          <w:jc w:val="center"/>
        </w:trPr>
        <w:tc>
          <w:tcPr>
            <w:tcW w:w="2390" w:type="dxa"/>
            <w:vMerge/>
            <w:vAlign w:val="center"/>
          </w:tcPr>
          <w:p w:rsidR="00BE1FE1" w:rsidRDefault="00BE1FE1">
            <w:pPr>
              <w:spacing w:line="300" w:lineRule="exact"/>
              <w:jc w:val="left"/>
              <w:outlineLvl w:val="0"/>
              <w:rPr>
                <w:rFonts w:ascii="Times New Roman" w:hAnsi="Times New Roman"/>
                <w:szCs w:val="24"/>
              </w:rPr>
            </w:pPr>
          </w:p>
        </w:tc>
        <w:tc>
          <w:tcPr>
            <w:tcW w:w="1068" w:type="dxa"/>
            <w:vMerge/>
            <w:vAlign w:val="center"/>
          </w:tcPr>
          <w:p w:rsidR="00BE1FE1" w:rsidRDefault="00BE1FE1">
            <w:pPr>
              <w:spacing w:line="300" w:lineRule="exact"/>
              <w:jc w:val="left"/>
              <w:outlineLvl w:val="0"/>
              <w:rPr>
                <w:rFonts w:ascii="Times New Roman" w:hAnsi="Times New Roman"/>
                <w:szCs w:val="24"/>
              </w:rPr>
            </w:pPr>
          </w:p>
        </w:tc>
        <w:tc>
          <w:tcPr>
            <w:tcW w:w="878" w:type="dxa"/>
            <w:vMerge/>
            <w:vAlign w:val="center"/>
          </w:tcPr>
          <w:p w:rsidR="00BE1FE1" w:rsidRDefault="00BE1FE1">
            <w:pPr>
              <w:spacing w:line="300" w:lineRule="exact"/>
              <w:jc w:val="left"/>
              <w:outlineLvl w:val="0"/>
              <w:rPr>
                <w:rFonts w:ascii="Times New Roman" w:hAnsi="Times New Roman"/>
                <w:szCs w:val="24"/>
              </w:rPr>
            </w:pPr>
          </w:p>
        </w:tc>
        <w:tc>
          <w:tcPr>
            <w:tcW w:w="1399" w:type="dxa"/>
            <w:vMerge/>
            <w:vAlign w:val="center"/>
          </w:tcPr>
          <w:p w:rsidR="00BE1FE1" w:rsidRDefault="00BE1FE1">
            <w:pPr>
              <w:spacing w:line="300" w:lineRule="exact"/>
              <w:jc w:val="left"/>
              <w:outlineLvl w:val="0"/>
              <w:rPr>
                <w:rFonts w:ascii="Times New Roman" w:hAnsi="Times New Roman"/>
                <w:szCs w:val="24"/>
              </w:rPr>
            </w:pPr>
          </w:p>
        </w:tc>
        <w:tc>
          <w:tcPr>
            <w:tcW w:w="878" w:type="dxa"/>
            <w:vMerge/>
            <w:vAlign w:val="center"/>
          </w:tcPr>
          <w:p w:rsidR="00BE1FE1" w:rsidRDefault="00BE1FE1">
            <w:pPr>
              <w:spacing w:line="300" w:lineRule="exact"/>
              <w:jc w:val="left"/>
              <w:outlineLvl w:val="0"/>
              <w:rPr>
                <w:rFonts w:ascii="Times New Roman" w:hAnsi="Times New Roman"/>
                <w:szCs w:val="24"/>
              </w:rPr>
            </w:pPr>
          </w:p>
        </w:tc>
        <w:tc>
          <w:tcPr>
            <w:tcW w:w="878" w:type="dxa"/>
            <w:vMerge/>
            <w:vAlign w:val="center"/>
          </w:tcPr>
          <w:p w:rsidR="00BE1FE1" w:rsidRDefault="00BE1FE1">
            <w:pPr>
              <w:spacing w:line="300" w:lineRule="exact"/>
              <w:jc w:val="left"/>
              <w:outlineLvl w:val="0"/>
              <w:rPr>
                <w:rFonts w:ascii="Times New Roman" w:hAnsi="Times New Roman"/>
                <w:szCs w:val="24"/>
              </w:rPr>
            </w:pPr>
          </w:p>
        </w:tc>
        <w:tc>
          <w:tcPr>
            <w:tcW w:w="904" w:type="dxa"/>
            <w:vMerge/>
            <w:vAlign w:val="center"/>
          </w:tcPr>
          <w:p w:rsidR="00BE1FE1" w:rsidRDefault="00BE1FE1">
            <w:pPr>
              <w:spacing w:line="300" w:lineRule="exact"/>
              <w:jc w:val="left"/>
              <w:outlineLvl w:val="0"/>
              <w:rPr>
                <w:rFonts w:ascii="Times New Roman" w:hAnsi="Times New Roman"/>
                <w:szCs w:val="24"/>
              </w:rPr>
            </w:pPr>
          </w:p>
        </w:tc>
        <w:tc>
          <w:tcPr>
            <w:tcW w:w="898" w:type="dxa"/>
            <w:vMerge/>
            <w:vAlign w:val="center"/>
          </w:tcPr>
          <w:p w:rsidR="00BE1FE1" w:rsidRDefault="00BE1FE1">
            <w:pPr>
              <w:spacing w:line="300" w:lineRule="exact"/>
              <w:jc w:val="left"/>
              <w:outlineLvl w:val="0"/>
              <w:rPr>
                <w:rFonts w:ascii="Times New Roman" w:hAnsi="Times New Roman"/>
                <w:szCs w:val="24"/>
              </w:rPr>
            </w:pPr>
          </w:p>
        </w:tc>
        <w:tc>
          <w:tcPr>
            <w:tcW w:w="898" w:type="dxa"/>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合计</w:t>
            </w:r>
          </w:p>
        </w:tc>
        <w:tc>
          <w:tcPr>
            <w:tcW w:w="898" w:type="dxa"/>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一般公共预算拨款</w:t>
            </w:r>
          </w:p>
        </w:tc>
        <w:tc>
          <w:tcPr>
            <w:tcW w:w="819" w:type="dxa"/>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基金预算拨款</w:t>
            </w:r>
          </w:p>
        </w:tc>
        <w:tc>
          <w:tcPr>
            <w:tcW w:w="881" w:type="dxa"/>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财政专户核拨</w:t>
            </w:r>
          </w:p>
        </w:tc>
        <w:tc>
          <w:tcPr>
            <w:tcW w:w="884" w:type="dxa"/>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其他来源收入</w:t>
            </w:r>
          </w:p>
        </w:tc>
        <w:tc>
          <w:tcPr>
            <w:tcW w:w="490" w:type="dxa"/>
            <w:vMerge/>
            <w:vAlign w:val="center"/>
          </w:tcPr>
          <w:p w:rsidR="00BE1FE1" w:rsidRDefault="00BE1FE1">
            <w:pPr>
              <w:spacing w:line="300" w:lineRule="exact"/>
              <w:jc w:val="left"/>
              <w:outlineLvl w:val="0"/>
              <w:rPr>
                <w:rFonts w:ascii="Times New Roman" w:hAnsi="Times New Roman"/>
                <w:szCs w:val="24"/>
              </w:rPr>
            </w:pPr>
          </w:p>
        </w:tc>
      </w:tr>
      <w:tr w:rsidR="00BE1FE1">
        <w:trPr>
          <w:jc w:val="center"/>
        </w:trPr>
        <w:tc>
          <w:tcPr>
            <w:tcW w:w="2390" w:type="dxa"/>
            <w:vAlign w:val="center"/>
          </w:tcPr>
          <w:p w:rsidR="00BE1FE1" w:rsidRDefault="00BE1FE1">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合　计</w:t>
            </w:r>
          </w:p>
        </w:tc>
        <w:tc>
          <w:tcPr>
            <w:tcW w:w="1068" w:type="dxa"/>
            <w:vAlign w:val="center"/>
          </w:tcPr>
          <w:p w:rsidR="00BE1FE1" w:rsidRDefault="00BE1FE1">
            <w:pPr>
              <w:spacing w:line="300" w:lineRule="exact"/>
              <w:jc w:val="right"/>
              <w:rPr>
                <w:rFonts w:ascii="方正书宋_GBK" w:eastAsia="方正书宋_GBK" w:hAnsi="Times New Roman"/>
                <w:b/>
                <w:szCs w:val="24"/>
              </w:rPr>
            </w:pPr>
            <w:r>
              <w:rPr>
                <w:rFonts w:ascii="方正书宋_GBK" w:eastAsia="方正书宋_GBK" w:hAnsi="Times New Roman"/>
                <w:b/>
                <w:szCs w:val="24"/>
              </w:rPr>
              <w:t>239.35</w:t>
            </w:r>
          </w:p>
        </w:tc>
        <w:tc>
          <w:tcPr>
            <w:tcW w:w="878" w:type="dxa"/>
            <w:vAlign w:val="center"/>
          </w:tcPr>
          <w:p w:rsidR="00BE1FE1" w:rsidRDefault="00BE1FE1">
            <w:pPr>
              <w:spacing w:line="300" w:lineRule="exact"/>
              <w:jc w:val="left"/>
              <w:rPr>
                <w:rFonts w:ascii="方正书宋_GBK" w:eastAsia="方正书宋_GBK" w:hAnsi="Times New Roman"/>
                <w:b/>
                <w:szCs w:val="24"/>
              </w:rPr>
            </w:pPr>
          </w:p>
        </w:tc>
        <w:tc>
          <w:tcPr>
            <w:tcW w:w="1399" w:type="dxa"/>
            <w:vAlign w:val="center"/>
          </w:tcPr>
          <w:p w:rsidR="00BE1FE1" w:rsidRDefault="00BE1FE1">
            <w:pPr>
              <w:spacing w:line="300" w:lineRule="exact"/>
              <w:jc w:val="left"/>
              <w:rPr>
                <w:rFonts w:ascii="方正书宋_GBK" w:eastAsia="方正书宋_GBK" w:hAnsi="Times New Roman"/>
                <w:b/>
                <w:szCs w:val="24"/>
              </w:rPr>
            </w:pPr>
          </w:p>
        </w:tc>
        <w:tc>
          <w:tcPr>
            <w:tcW w:w="878" w:type="dxa"/>
            <w:vAlign w:val="center"/>
          </w:tcPr>
          <w:p w:rsidR="00BE1FE1" w:rsidRDefault="00BE1FE1">
            <w:pPr>
              <w:spacing w:line="300" w:lineRule="exact"/>
              <w:jc w:val="left"/>
              <w:rPr>
                <w:rFonts w:ascii="方正书宋_GBK" w:eastAsia="方正书宋_GBK" w:hAnsi="Times New Roman"/>
                <w:b/>
                <w:szCs w:val="24"/>
              </w:rPr>
            </w:pPr>
          </w:p>
        </w:tc>
        <w:tc>
          <w:tcPr>
            <w:tcW w:w="878" w:type="dxa"/>
            <w:vAlign w:val="center"/>
          </w:tcPr>
          <w:p w:rsidR="00BE1FE1" w:rsidRDefault="00BE1FE1">
            <w:pPr>
              <w:spacing w:line="300" w:lineRule="exact"/>
              <w:jc w:val="right"/>
              <w:rPr>
                <w:rFonts w:ascii="方正书宋_GBK" w:eastAsia="方正书宋_GBK" w:hAnsi="Times New Roman"/>
                <w:b/>
                <w:szCs w:val="24"/>
              </w:rPr>
            </w:pPr>
          </w:p>
        </w:tc>
        <w:tc>
          <w:tcPr>
            <w:tcW w:w="904" w:type="dxa"/>
            <w:vAlign w:val="center"/>
          </w:tcPr>
          <w:p w:rsidR="00BE1FE1" w:rsidRDefault="00BE1FE1">
            <w:pPr>
              <w:spacing w:line="300" w:lineRule="exact"/>
              <w:jc w:val="right"/>
              <w:rPr>
                <w:rFonts w:ascii="方正书宋_GBK" w:eastAsia="方正书宋_GBK" w:hAnsi="Times New Roman"/>
                <w:b/>
                <w:szCs w:val="24"/>
              </w:rPr>
            </w:pPr>
          </w:p>
        </w:tc>
        <w:tc>
          <w:tcPr>
            <w:tcW w:w="898" w:type="dxa"/>
            <w:vAlign w:val="center"/>
          </w:tcPr>
          <w:p w:rsidR="00BE1FE1" w:rsidRDefault="00BE1FE1">
            <w:pPr>
              <w:spacing w:line="300" w:lineRule="exact"/>
              <w:jc w:val="right"/>
              <w:rPr>
                <w:rFonts w:ascii="方正书宋_GBK" w:eastAsia="方正书宋_GBK" w:hAnsi="Times New Roman"/>
                <w:b/>
                <w:szCs w:val="24"/>
              </w:rPr>
            </w:pPr>
          </w:p>
        </w:tc>
        <w:tc>
          <w:tcPr>
            <w:tcW w:w="898" w:type="dxa"/>
            <w:vAlign w:val="center"/>
          </w:tcPr>
          <w:p w:rsidR="00BE1FE1" w:rsidRDefault="00BE1FE1">
            <w:pPr>
              <w:spacing w:line="300" w:lineRule="exact"/>
              <w:jc w:val="right"/>
              <w:rPr>
                <w:rFonts w:ascii="方正书宋_GBK" w:eastAsia="方正书宋_GBK" w:hAnsi="Times New Roman"/>
                <w:b/>
                <w:szCs w:val="24"/>
              </w:rPr>
            </w:pPr>
          </w:p>
        </w:tc>
        <w:tc>
          <w:tcPr>
            <w:tcW w:w="898" w:type="dxa"/>
            <w:vAlign w:val="center"/>
          </w:tcPr>
          <w:p w:rsidR="00BE1FE1" w:rsidRDefault="00BE1FE1">
            <w:pPr>
              <w:spacing w:line="300" w:lineRule="exact"/>
              <w:jc w:val="right"/>
              <w:rPr>
                <w:rFonts w:ascii="方正书宋_GBK" w:eastAsia="方正书宋_GBK" w:hAnsi="Times New Roman"/>
                <w:b/>
                <w:szCs w:val="24"/>
              </w:rPr>
            </w:pPr>
          </w:p>
        </w:tc>
        <w:tc>
          <w:tcPr>
            <w:tcW w:w="819" w:type="dxa"/>
            <w:vAlign w:val="center"/>
          </w:tcPr>
          <w:p w:rsidR="00BE1FE1" w:rsidRDefault="00BE1FE1">
            <w:pPr>
              <w:spacing w:line="300" w:lineRule="exact"/>
              <w:jc w:val="right"/>
              <w:rPr>
                <w:rFonts w:ascii="方正书宋_GBK" w:eastAsia="方正书宋_GBK" w:hAnsi="Times New Roman"/>
                <w:b/>
                <w:szCs w:val="24"/>
              </w:rPr>
            </w:pPr>
          </w:p>
        </w:tc>
        <w:tc>
          <w:tcPr>
            <w:tcW w:w="881" w:type="dxa"/>
            <w:vAlign w:val="center"/>
          </w:tcPr>
          <w:p w:rsidR="00BE1FE1" w:rsidRDefault="00BE1FE1">
            <w:pPr>
              <w:spacing w:line="300" w:lineRule="exact"/>
              <w:jc w:val="right"/>
              <w:rPr>
                <w:rFonts w:ascii="方正书宋_GBK" w:eastAsia="方正书宋_GBK" w:hAnsi="Times New Roman"/>
                <w:b/>
                <w:szCs w:val="24"/>
              </w:rPr>
            </w:pPr>
          </w:p>
        </w:tc>
        <w:tc>
          <w:tcPr>
            <w:tcW w:w="884" w:type="dxa"/>
            <w:vAlign w:val="center"/>
          </w:tcPr>
          <w:p w:rsidR="00BE1FE1" w:rsidRDefault="00BE1FE1">
            <w:pPr>
              <w:spacing w:line="300" w:lineRule="exact"/>
              <w:jc w:val="right"/>
              <w:rPr>
                <w:rFonts w:ascii="方正书宋_GBK" w:eastAsia="方正书宋_GBK" w:hAnsi="Times New Roman"/>
                <w:b/>
                <w:szCs w:val="24"/>
              </w:rPr>
            </w:pPr>
          </w:p>
        </w:tc>
        <w:tc>
          <w:tcPr>
            <w:tcW w:w="490" w:type="dxa"/>
            <w:vAlign w:val="center"/>
          </w:tcPr>
          <w:p w:rsidR="00BE1FE1" w:rsidRDefault="00BE1FE1">
            <w:pPr>
              <w:spacing w:line="300" w:lineRule="exact"/>
              <w:jc w:val="right"/>
              <w:rPr>
                <w:rFonts w:ascii="方正书宋_GBK" w:eastAsia="方正书宋_GBK" w:hAnsi="Times New Roman"/>
                <w:b/>
                <w:szCs w:val="24"/>
              </w:rPr>
            </w:pPr>
          </w:p>
        </w:tc>
      </w:tr>
      <w:tr w:rsidR="00BE1FE1">
        <w:trPr>
          <w:jc w:val="center"/>
        </w:trPr>
        <w:tc>
          <w:tcPr>
            <w:tcW w:w="2390" w:type="dxa"/>
            <w:vAlign w:val="center"/>
          </w:tcPr>
          <w:p w:rsidR="00BE1FE1" w:rsidRDefault="00BE1FE1">
            <w:pPr>
              <w:spacing w:line="300" w:lineRule="exact"/>
              <w:jc w:val="center"/>
              <w:rPr>
                <w:rFonts w:ascii="方正书宋_GBK" w:eastAsia="方正书宋_GBK" w:hAnsi="Times New Roman"/>
                <w:szCs w:val="24"/>
              </w:rPr>
            </w:pPr>
            <w:r>
              <w:rPr>
                <w:rFonts w:ascii="方正书宋_GBK" w:eastAsia="方正书宋_GBK" w:hAnsi="Times New Roman"/>
                <w:szCs w:val="24"/>
              </w:rPr>
              <w:t>2018</w:t>
            </w:r>
            <w:r>
              <w:rPr>
                <w:rFonts w:ascii="方正书宋_GBK" w:eastAsia="方正书宋_GBK" w:hAnsi="Times New Roman" w:hint="eastAsia"/>
                <w:szCs w:val="24"/>
              </w:rPr>
              <w:t>年基层公共文化建设补助资金</w:t>
            </w:r>
          </w:p>
        </w:tc>
        <w:tc>
          <w:tcPr>
            <w:tcW w:w="106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30</w:t>
            </w:r>
          </w:p>
        </w:tc>
        <w:tc>
          <w:tcPr>
            <w:tcW w:w="878"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hint="eastAsia"/>
                <w:szCs w:val="24"/>
              </w:rPr>
              <w:t>工程</w:t>
            </w:r>
          </w:p>
        </w:tc>
        <w:tc>
          <w:tcPr>
            <w:tcW w:w="1399"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szCs w:val="24"/>
              </w:rPr>
              <w:t>B</w:t>
            </w:r>
          </w:p>
        </w:tc>
        <w:tc>
          <w:tcPr>
            <w:tcW w:w="878"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hint="eastAsia"/>
                <w:szCs w:val="24"/>
              </w:rPr>
              <w:t>项</w:t>
            </w:r>
          </w:p>
        </w:tc>
        <w:tc>
          <w:tcPr>
            <w:tcW w:w="87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w:t>
            </w:r>
          </w:p>
        </w:tc>
        <w:tc>
          <w:tcPr>
            <w:tcW w:w="904"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30</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30</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30</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30</w:t>
            </w:r>
          </w:p>
        </w:tc>
        <w:tc>
          <w:tcPr>
            <w:tcW w:w="819" w:type="dxa"/>
            <w:vAlign w:val="center"/>
          </w:tcPr>
          <w:p w:rsidR="00BE1FE1" w:rsidRDefault="00BE1FE1">
            <w:pPr>
              <w:spacing w:line="300" w:lineRule="exact"/>
              <w:jc w:val="right"/>
              <w:rPr>
                <w:rFonts w:ascii="方正书宋_GBK" w:eastAsia="方正书宋_GBK" w:hAnsi="Times New Roman"/>
                <w:szCs w:val="24"/>
              </w:rPr>
            </w:pPr>
          </w:p>
        </w:tc>
        <w:tc>
          <w:tcPr>
            <w:tcW w:w="881" w:type="dxa"/>
            <w:vAlign w:val="center"/>
          </w:tcPr>
          <w:p w:rsidR="00BE1FE1" w:rsidRDefault="00BE1FE1">
            <w:pPr>
              <w:spacing w:line="300" w:lineRule="exact"/>
              <w:jc w:val="right"/>
              <w:rPr>
                <w:rFonts w:ascii="方正书宋_GBK" w:eastAsia="方正书宋_GBK" w:hAnsi="Times New Roman"/>
                <w:szCs w:val="24"/>
              </w:rPr>
            </w:pPr>
          </w:p>
        </w:tc>
        <w:tc>
          <w:tcPr>
            <w:tcW w:w="884" w:type="dxa"/>
            <w:vAlign w:val="center"/>
          </w:tcPr>
          <w:p w:rsidR="00BE1FE1" w:rsidRDefault="00BE1FE1">
            <w:pPr>
              <w:spacing w:line="300" w:lineRule="exact"/>
              <w:jc w:val="right"/>
              <w:rPr>
                <w:rFonts w:ascii="方正书宋_GBK" w:eastAsia="方正书宋_GBK" w:hAnsi="Times New Roman"/>
                <w:szCs w:val="24"/>
              </w:rPr>
            </w:pPr>
          </w:p>
        </w:tc>
        <w:tc>
          <w:tcPr>
            <w:tcW w:w="490" w:type="dxa"/>
            <w:vAlign w:val="center"/>
          </w:tcPr>
          <w:p w:rsidR="00BE1FE1" w:rsidRDefault="00BE1FE1">
            <w:pPr>
              <w:spacing w:line="300" w:lineRule="exact"/>
              <w:jc w:val="right"/>
              <w:rPr>
                <w:rFonts w:ascii="方正书宋_GBK" w:eastAsia="方正书宋_GBK" w:hAnsi="Times New Roman"/>
                <w:b/>
                <w:szCs w:val="24"/>
              </w:rPr>
            </w:pPr>
          </w:p>
        </w:tc>
      </w:tr>
      <w:tr w:rsidR="00BE1FE1">
        <w:trPr>
          <w:jc w:val="center"/>
        </w:trPr>
        <w:tc>
          <w:tcPr>
            <w:tcW w:w="2390" w:type="dxa"/>
            <w:vAlign w:val="center"/>
          </w:tcPr>
          <w:p w:rsidR="00BE1FE1" w:rsidRDefault="00BE1FE1">
            <w:pPr>
              <w:spacing w:line="300" w:lineRule="exact"/>
              <w:jc w:val="center"/>
              <w:rPr>
                <w:rFonts w:ascii="方正书宋_GBK" w:eastAsia="方正书宋_GBK" w:hAnsi="Times New Roman"/>
                <w:szCs w:val="24"/>
              </w:rPr>
            </w:pPr>
            <w:r>
              <w:rPr>
                <w:rFonts w:ascii="方正书宋_GBK" w:eastAsia="方正书宋_GBK" w:hAnsi="Times New Roman" w:hint="eastAsia"/>
                <w:szCs w:val="24"/>
              </w:rPr>
              <w:t>提前下达畅通镇外排水沟渠所需资金</w:t>
            </w:r>
          </w:p>
        </w:tc>
        <w:tc>
          <w:tcPr>
            <w:tcW w:w="106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160</w:t>
            </w:r>
          </w:p>
        </w:tc>
        <w:tc>
          <w:tcPr>
            <w:tcW w:w="878"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hint="eastAsia"/>
                <w:szCs w:val="24"/>
              </w:rPr>
              <w:t>工程</w:t>
            </w:r>
          </w:p>
        </w:tc>
        <w:tc>
          <w:tcPr>
            <w:tcW w:w="1399"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szCs w:val="24"/>
              </w:rPr>
              <w:t>B</w:t>
            </w:r>
          </w:p>
        </w:tc>
        <w:tc>
          <w:tcPr>
            <w:tcW w:w="878"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hint="eastAsia"/>
                <w:szCs w:val="24"/>
              </w:rPr>
              <w:t>项</w:t>
            </w:r>
          </w:p>
        </w:tc>
        <w:tc>
          <w:tcPr>
            <w:tcW w:w="87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w:t>
            </w:r>
          </w:p>
        </w:tc>
        <w:tc>
          <w:tcPr>
            <w:tcW w:w="904"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160</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160</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160</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160</w:t>
            </w:r>
          </w:p>
        </w:tc>
        <w:tc>
          <w:tcPr>
            <w:tcW w:w="819" w:type="dxa"/>
            <w:vAlign w:val="center"/>
          </w:tcPr>
          <w:p w:rsidR="00BE1FE1" w:rsidRDefault="00BE1FE1">
            <w:pPr>
              <w:spacing w:line="300" w:lineRule="exact"/>
              <w:jc w:val="right"/>
              <w:rPr>
                <w:rFonts w:ascii="方正书宋_GBK" w:eastAsia="方正书宋_GBK" w:hAnsi="Times New Roman"/>
                <w:szCs w:val="24"/>
              </w:rPr>
            </w:pPr>
          </w:p>
        </w:tc>
        <w:tc>
          <w:tcPr>
            <w:tcW w:w="881" w:type="dxa"/>
            <w:vAlign w:val="center"/>
          </w:tcPr>
          <w:p w:rsidR="00BE1FE1" w:rsidRDefault="00BE1FE1">
            <w:pPr>
              <w:spacing w:line="300" w:lineRule="exact"/>
              <w:jc w:val="right"/>
              <w:rPr>
                <w:rFonts w:ascii="方正书宋_GBK" w:eastAsia="方正书宋_GBK" w:hAnsi="Times New Roman"/>
                <w:szCs w:val="24"/>
              </w:rPr>
            </w:pPr>
          </w:p>
        </w:tc>
        <w:tc>
          <w:tcPr>
            <w:tcW w:w="884" w:type="dxa"/>
            <w:vAlign w:val="center"/>
          </w:tcPr>
          <w:p w:rsidR="00BE1FE1" w:rsidRDefault="00BE1FE1">
            <w:pPr>
              <w:spacing w:line="300" w:lineRule="exact"/>
              <w:jc w:val="right"/>
              <w:rPr>
                <w:rFonts w:ascii="方正书宋_GBK" w:eastAsia="方正书宋_GBK" w:hAnsi="Times New Roman"/>
                <w:szCs w:val="24"/>
              </w:rPr>
            </w:pPr>
          </w:p>
        </w:tc>
        <w:tc>
          <w:tcPr>
            <w:tcW w:w="490" w:type="dxa"/>
            <w:vAlign w:val="center"/>
          </w:tcPr>
          <w:p w:rsidR="00BE1FE1" w:rsidRDefault="00BE1FE1">
            <w:pPr>
              <w:spacing w:line="300" w:lineRule="exact"/>
              <w:jc w:val="right"/>
              <w:rPr>
                <w:rFonts w:ascii="方正书宋_GBK" w:eastAsia="方正书宋_GBK" w:hAnsi="Times New Roman"/>
                <w:b/>
                <w:szCs w:val="24"/>
              </w:rPr>
            </w:pPr>
          </w:p>
        </w:tc>
      </w:tr>
      <w:tr w:rsidR="00BE1FE1">
        <w:trPr>
          <w:jc w:val="center"/>
        </w:trPr>
        <w:tc>
          <w:tcPr>
            <w:tcW w:w="2390" w:type="dxa"/>
            <w:vAlign w:val="center"/>
          </w:tcPr>
          <w:p w:rsidR="00BE1FE1" w:rsidRDefault="00BE1FE1">
            <w:pPr>
              <w:spacing w:line="300" w:lineRule="exact"/>
              <w:jc w:val="center"/>
              <w:rPr>
                <w:rFonts w:ascii="方正书宋_GBK" w:eastAsia="方正书宋_GBK" w:hAnsi="Times New Roman"/>
                <w:szCs w:val="24"/>
              </w:rPr>
            </w:pPr>
            <w:r>
              <w:rPr>
                <w:rFonts w:ascii="方正书宋_GBK" w:eastAsia="方正书宋_GBK" w:hAnsi="Times New Roman" w:hint="eastAsia"/>
                <w:szCs w:val="24"/>
              </w:rPr>
              <w:t>畅通镇外排水工程配套资金</w:t>
            </w:r>
          </w:p>
        </w:tc>
        <w:tc>
          <w:tcPr>
            <w:tcW w:w="106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17.35</w:t>
            </w:r>
          </w:p>
        </w:tc>
        <w:tc>
          <w:tcPr>
            <w:tcW w:w="878"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hint="eastAsia"/>
                <w:szCs w:val="24"/>
              </w:rPr>
              <w:t>工程</w:t>
            </w:r>
          </w:p>
        </w:tc>
        <w:tc>
          <w:tcPr>
            <w:tcW w:w="1399"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szCs w:val="24"/>
              </w:rPr>
              <w:t>B</w:t>
            </w:r>
          </w:p>
        </w:tc>
        <w:tc>
          <w:tcPr>
            <w:tcW w:w="878"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hint="eastAsia"/>
                <w:szCs w:val="24"/>
              </w:rPr>
              <w:t>项</w:t>
            </w:r>
          </w:p>
        </w:tc>
        <w:tc>
          <w:tcPr>
            <w:tcW w:w="87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w:t>
            </w:r>
          </w:p>
        </w:tc>
        <w:tc>
          <w:tcPr>
            <w:tcW w:w="904"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17.35</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17.35</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17.35</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17.35</w:t>
            </w:r>
          </w:p>
        </w:tc>
        <w:tc>
          <w:tcPr>
            <w:tcW w:w="819" w:type="dxa"/>
            <w:vAlign w:val="center"/>
          </w:tcPr>
          <w:p w:rsidR="00BE1FE1" w:rsidRDefault="00BE1FE1">
            <w:pPr>
              <w:spacing w:line="300" w:lineRule="exact"/>
              <w:jc w:val="right"/>
              <w:rPr>
                <w:rFonts w:ascii="方正书宋_GBK" w:eastAsia="方正书宋_GBK" w:hAnsi="Times New Roman"/>
                <w:szCs w:val="24"/>
              </w:rPr>
            </w:pPr>
          </w:p>
        </w:tc>
        <w:tc>
          <w:tcPr>
            <w:tcW w:w="881" w:type="dxa"/>
            <w:vAlign w:val="center"/>
          </w:tcPr>
          <w:p w:rsidR="00BE1FE1" w:rsidRDefault="00BE1FE1">
            <w:pPr>
              <w:spacing w:line="300" w:lineRule="exact"/>
              <w:jc w:val="right"/>
              <w:rPr>
                <w:rFonts w:ascii="方正书宋_GBK" w:eastAsia="方正书宋_GBK" w:hAnsi="Times New Roman"/>
                <w:szCs w:val="24"/>
              </w:rPr>
            </w:pPr>
          </w:p>
        </w:tc>
        <w:tc>
          <w:tcPr>
            <w:tcW w:w="884" w:type="dxa"/>
            <w:vAlign w:val="center"/>
          </w:tcPr>
          <w:p w:rsidR="00BE1FE1" w:rsidRDefault="00BE1FE1">
            <w:pPr>
              <w:spacing w:line="300" w:lineRule="exact"/>
              <w:jc w:val="right"/>
              <w:rPr>
                <w:rFonts w:ascii="方正书宋_GBK" w:eastAsia="方正书宋_GBK" w:hAnsi="Times New Roman"/>
                <w:szCs w:val="24"/>
              </w:rPr>
            </w:pPr>
          </w:p>
        </w:tc>
        <w:tc>
          <w:tcPr>
            <w:tcW w:w="490" w:type="dxa"/>
            <w:vAlign w:val="center"/>
          </w:tcPr>
          <w:p w:rsidR="00BE1FE1" w:rsidRDefault="00BE1FE1">
            <w:pPr>
              <w:spacing w:line="300" w:lineRule="exact"/>
              <w:jc w:val="right"/>
              <w:rPr>
                <w:rFonts w:ascii="方正书宋_GBK" w:eastAsia="方正书宋_GBK" w:hAnsi="Times New Roman"/>
                <w:b/>
                <w:szCs w:val="24"/>
              </w:rPr>
            </w:pPr>
          </w:p>
        </w:tc>
      </w:tr>
      <w:tr w:rsidR="00BE1FE1">
        <w:trPr>
          <w:jc w:val="center"/>
        </w:trPr>
        <w:tc>
          <w:tcPr>
            <w:tcW w:w="2390" w:type="dxa"/>
            <w:vAlign w:val="center"/>
          </w:tcPr>
          <w:p w:rsidR="00BE1FE1" w:rsidRDefault="00BE1FE1">
            <w:pPr>
              <w:spacing w:line="300" w:lineRule="exact"/>
              <w:jc w:val="center"/>
              <w:rPr>
                <w:rFonts w:ascii="方正书宋_GBK" w:eastAsia="方正书宋_GBK" w:hAnsi="Times New Roman"/>
                <w:szCs w:val="24"/>
              </w:rPr>
            </w:pPr>
            <w:r>
              <w:rPr>
                <w:rFonts w:ascii="方正书宋_GBK" w:eastAsia="方正书宋_GBK" w:hAnsi="Times New Roman" w:hint="eastAsia"/>
                <w:szCs w:val="24"/>
              </w:rPr>
              <w:t>提前下达</w:t>
            </w:r>
            <w:r>
              <w:rPr>
                <w:rFonts w:ascii="方正书宋_GBK" w:eastAsia="方正书宋_GBK" w:hAnsi="Times New Roman"/>
                <w:szCs w:val="24"/>
              </w:rPr>
              <w:t>2018</w:t>
            </w:r>
            <w:r>
              <w:rPr>
                <w:rFonts w:ascii="方正书宋_GBK" w:eastAsia="方正书宋_GBK" w:hAnsi="Times New Roman" w:hint="eastAsia"/>
                <w:szCs w:val="24"/>
              </w:rPr>
              <w:t>年乡镇示范工程和门球场建设专项资金</w:t>
            </w:r>
          </w:p>
        </w:tc>
        <w:tc>
          <w:tcPr>
            <w:tcW w:w="106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32</w:t>
            </w:r>
          </w:p>
        </w:tc>
        <w:tc>
          <w:tcPr>
            <w:tcW w:w="878"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hint="eastAsia"/>
                <w:szCs w:val="24"/>
              </w:rPr>
              <w:t>工程</w:t>
            </w:r>
          </w:p>
        </w:tc>
        <w:tc>
          <w:tcPr>
            <w:tcW w:w="1399"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szCs w:val="24"/>
              </w:rPr>
              <w:t>B</w:t>
            </w:r>
          </w:p>
        </w:tc>
        <w:tc>
          <w:tcPr>
            <w:tcW w:w="878" w:type="dxa"/>
            <w:vAlign w:val="center"/>
          </w:tcPr>
          <w:p w:rsidR="00BE1FE1" w:rsidRDefault="00BE1FE1">
            <w:pPr>
              <w:spacing w:line="300" w:lineRule="exact"/>
              <w:jc w:val="left"/>
              <w:rPr>
                <w:rFonts w:ascii="方正书宋_GBK" w:eastAsia="方正书宋_GBK" w:hAnsi="Times New Roman"/>
                <w:szCs w:val="24"/>
              </w:rPr>
            </w:pPr>
            <w:r>
              <w:rPr>
                <w:rFonts w:ascii="方正书宋_GBK" w:eastAsia="方正书宋_GBK" w:hAnsi="Times New Roman" w:hint="eastAsia"/>
                <w:szCs w:val="24"/>
              </w:rPr>
              <w:t>项</w:t>
            </w:r>
          </w:p>
        </w:tc>
        <w:tc>
          <w:tcPr>
            <w:tcW w:w="87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1</w:t>
            </w:r>
          </w:p>
        </w:tc>
        <w:tc>
          <w:tcPr>
            <w:tcW w:w="904"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32</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32</w:t>
            </w:r>
          </w:p>
        </w:tc>
        <w:tc>
          <w:tcPr>
            <w:tcW w:w="898"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32</w:t>
            </w:r>
          </w:p>
        </w:tc>
        <w:tc>
          <w:tcPr>
            <w:tcW w:w="898" w:type="dxa"/>
            <w:vAlign w:val="center"/>
          </w:tcPr>
          <w:p w:rsidR="00BE1FE1" w:rsidRDefault="00BE1FE1">
            <w:pPr>
              <w:spacing w:line="300" w:lineRule="exact"/>
              <w:jc w:val="right"/>
              <w:rPr>
                <w:rFonts w:ascii="方正书宋_GBK" w:eastAsia="方正书宋_GBK" w:hAnsi="Times New Roman"/>
                <w:szCs w:val="24"/>
              </w:rPr>
            </w:pPr>
          </w:p>
        </w:tc>
        <w:tc>
          <w:tcPr>
            <w:tcW w:w="819" w:type="dxa"/>
            <w:vAlign w:val="center"/>
          </w:tcPr>
          <w:p w:rsidR="00BE1FE1" w:rsidRDefault="00BE1FE1">
            <w:pPr>
              <w:spacing w:line="300" w:lineRule="exact"/>
              <w:jc w:val="right"/>
              <w:rPr>
                <w:rFonts w:ascii="方正书宋_GBK" w:eastAsia="方正书宋_GBK" w:hAnsi="Times New Roman"/>
                <w:szCs w:val="24"/>
              </w:rPr>
            </w:pPr>
            <w:r>
              <w:rPr>
                <w:rFonts w:ascii="方正书宋_GBK" w:eastAsia="方正书宋_GBK" w:hAnsi="Times New Roman"/>
                <w:szCs w:val="24"/>
              </w:rPr>
              <w:t>32</w:t>
            </w:r>
          </w:p>
        </w:tc>
        <w:tc>
          <w:tcPr>
            <w:tcW w:w="881" w:type="dxa"/>
            <w:vAlign w:val="center"/>
          </w:tcPr>
          <w:p w:rsidR="00BE1FE1" w:rsidRDefault="00BE1FE1">
            <w:pPr>
              <w:spacing w:line="300" w:lineRule="exact"/>
              <w:jc w:val="right"/>
              <w:rPr>
                <w:rFonts w:ascii="方正书宋_GBK" w:eastAsia="方正书宋_GBK" w:hAnsi="Times New Roman"/>
                <w:szCs w:val="24"/>
              </w:rPr>
            </w:pPr>
          </w:p>
        </w:tc>
        <w:tc>
          <w:tcPr>
            <w:tcW w:w="884" w:type="dxa"/>
            <w:vAlign w:val="center"/>
          </w:tcPr>
          <w:p w:rsidR="00BE1FE1" w:rsidRDefault="00BE1FE1">
            <w:pPr>
              <w:spacing w:line="300" w:lineRule="exact"/>
              <w:jc w:val="right"/>
              <w:rPr>
                <w:rFonts w:ascii="方正书宋_GBK" w:eastAsia="方正书宋_GBK" w:hAnsi="Times New Roman"/>
                <w:szCs w:val="24"/>
              </w:rPr>
            </w:pPr>
          </w:p>
        </w:tc>
        <w:tc>
          <w:tcPr>
            <w:tcW w:w="490" w:type="dxa"/>
            <w:vAlign w:val="center"/>
          </w:tcPr>
          <w:p w:rsidR="00BE1FE1" w:rsidRDefault="00BE1FE1">
            <w:pPr>
              <w:spacing w:line="300" w:lineRule="exact"/>
              <w:jc w:val="right"/>
              <w:rPr>
                <w:rFonts w:ascii="方正书宋_GBK" w:eastAsia="方正书宋_GBK" w:hAnsi="Times New Roman"/>
                <w:b/>
                <w:szCs w:val="24"/>
              </w:rPr>
            </w:pPr>
          </w:p>
        </w:tc>
      </w:tr>
    </w:tbl>
    <w:p w:rsidR="00BE1FE1" w:rsidRDefault="00BE1FE1" w:rsidP="00BE1FE1">
      <w:pPr>
        <w:ind w:firstLineChars="200" w:firstLine="640"/>
        <w:rPr>
          <w:rFonts w:ascii="黑体" w:eastAsia="黑体" w:hAnsi="黑体"/>
          <w:sz w:val="32"/>
          <w:szCs w:val="32"/>
        </w:rPr>
      </w:pPr>
    </w:p>
    <w:bookmarkEnd w:id="3"/>
    <w:p w:rsidR="00BE1FE1" w:rsidRDefault="00BE1FE1" w:rsidP="005579D5">
      <w:pPr>
        <w:ind w:firstLineChars="200" w:firstLine="640"/>
        <w:rPr>
          <w:rFonts w:ascii="黑体" w:eastAsia="黑体" w:hAnsi="黑体"/>
          <w:sz w:val="32"/>
          <w:szCs w:val="32"/>
        </w:rPr>
      </w:pPr>
      <w:r>
        <w:rPr>
          <w:rFonts w:ascii="黑体" w:eastAsia="黑体" w:hAnsi="黑体" w:hint="eastAsia"/>
          <w:sz w:val="32"/>
          <w:szCs w:val="32"/>
        </w:rPr>
        <w:lastRenderedPageBreak/>
        <w:t>七、国有资产信息</w:t>
      </w:r>
    </w:p>
    <w:p w:rsidR="00BE1FE1" w:rsidRDefault="00BE1FE1" w:rsidP="005579D5">
      <w:pPr>
        <w:ind w:firstLineChars="200" w:firstLine="640"/>
        <w:rPr>
          <w:rFonts w:ascii="仿宋_GB2312" w:eastAsia="仿宋_GB2312" w:hAnsi="黑体"/>
          <w:sz w:val="32"/>
          <w:szCs w:val="32"/>
        </w:rPr>
      </w:pPr>
      <w:r>
        <w:rPr>
          <w:rFonts w:ascii="仿宋_GB2312" w:eastAsia="仿宋_GB2312" w:hAnsi="黑体" w:hint="eastAsia"/>
          <w:sz w:val="32"/>
          <w:szCs w:val="32"/>
        </w:rPr>
        <w:t>霸州市信安镇人民政府（含所属单位）上年末固定资产金额为</w:t>
      </w:r>
      <w:r>
        <w:rPr>
          <w:rFonts w:ascii="仿宋_GB2312" w:eastAsia="仿宋_GB2312" w:hAnsi="黑体"/>
          <w:sz w:val="32"/>
          <w:szCs w:val="32"/>
        </w:rPr>
        <w:t>925.93</w:t>
      </w:r>
      <w:r>
        <w:rPr>
          <w:rFonts w:ascii="仿宋_GB2312" w:eastAsia="仿宋_GB2312" w:hAnsi="黑体" w:hint="eastAsia"/>
          <w:sz w:val="32"/>
          <w:szCs w:val="32"/>
        </w:rPr>
        <w:t>万元（详见下表）。</w:t>
      </w:r>
      <w:r>
        <w:rPr>
          <w:rFonts w:ascii="仿宋_GB2312" w:eastAsia="仿宋_GB2312" w:hAnsi="黑体"/>
          <w:sz w:val="32"/>
          <w:szCs w:val="32"/>
        </w:rPr>
        <w:t>2018</w:t>
      </w:r>
      <w:r>
        <w:rPr>
          <w:rFonts w:ascii="仿宋_GB2312" w:eastAsia="仿宋_GB2312" w:hAnsi="黑体" w:hint="eastAsia"/>
          <w:sz w:val="32"/>
          <w:szCs w:val="32"/>
        </w:rPr>
        <w:t>年，我部门无新增固定资产计划。</w:t>
      </w:r>
    </w:p>
    <w:p w:rsidR="00BE1FE1" w:rsidRDefault="00BE1FE1" w:rsidP="005579D5">
      <w:pPr>
        <w:ind w:firstLineChars="1000" w:firstLine="3213"/>
        <w:rPr>
          <w:rFonts w:ascii="仿宋_GB2312" w:eastAsia="仿宋_GB2312" w:hAnsi="Times New Roman"/>
          <w:color w:val="000000"/>
          <w:sz w:val="32"/>
          <w:szCs w:val="32"/>
        </w:rPr>
      </w:pPr>
      <w:r>
        <w:rPr>
          <w:rFonts w:ascii="宋体" w:hAnsi="宋体" w:cs="宋体" w:hint="eastAsia"/>
          <w:b/>
          <w:bCs/>
          <w:kern w:val="0"/>
          <w:sz w:val="32"/>
          <w:szCs w:val="32"/>
        </w:rPr>
        <w:t>霸州市信安镇人民政府部门固定资产占用情况表</w:t>
      </w:r>
    </w:p>
    <w:tbl>
      <w:tblPr>
        <w:tblW w:w="13482" w:type="dxa"/>
        <w:tblInd w:w="93" w:type="dxa"/>
        <w:tblLayout w:type="fixed"/>
        <w:tblLook w:val="00A0" w:firstRow="1" w:lastRow="0" w:firstColumn="1" w:lastColumn="0" w:noHBand="0" w:noVBand="0"/>
      </w:tblPr>
      <w:tblGrid>
        <w:gridCol w:w="5224"/>
        <w:gridCol w:w="3155"/>
        <w:gridCol w:w="5103"/>
      </w:tblGrid>
      <w:tr w:rsidR="00BE1FE1">
        <w:trPr>
          <w:trHeight w:val="510"/>
        </w:trPr>
        <w:tc>
          <w:tcPr>
            <w:tcW w:w="8379" w:type="dxa"/>
            <w:gridSpan w:val="2"/>
            <w:tcBorders>
              <w:top w:val="nil"/>
              <w:left w:val="nil"/>
              <w:bottom w:val="nil"/>
              <w:right w:val="nil"/>
            </w:tcBorders>
            <w:vAlign w:val="center"/>
          </w:tcPr>
          <w:p w:rsidR="00BE1FE1" w:rsidRDefault="00BE1FE1">
            <w:pPr>
              <w:widowControl/>
              <w:jc w:val="left"/>
              <w:rPr>
                <w:rFonts w:ascii="宋体" w:cs="宋体"/>
                <w:kern w:val="0"/>
                <w:sz w:val="22"/>
              </w:rPr>
            </w:pPr>
            <w:r>
              <w:rPr>
                <w:rFonts w:ascii="宋体" w:hAnsi="宋体" w:cs="宋体" w:hint="eastAsia"/>
                <w:kern w:val="0"/>
                <w:sz w:val="22"/>
              </w:rPr>
              <w:t>编制部门：</w:t>
            </w:r>
            <w:r>
              <w:rPr>
                <w:rFonts w:ascii="宋体" w:hAnsi="宋体" w:cs="宋体"/>
                <w:kern w:val="0"/>
                <w:sz w:val="22"/>
              </w:rPr>
              <w:t>959</w:t>
            </w:r>
            <w:r>
              <w:rPr>
                <w:rFonts w:ascii="宋体" w:hAnsi="宋体" w:cs="宋体" w:hint="eastAsia"/>
                <w:kern w:val="0"/>
                <w:sz w:val="22"/>
              </w:rPr>
              <w:t>霸州市信安镇人民政府</w:t>
            </w:r>
          </w:p>
        </w:tc>
        <w:tc>
          <w:tcPr>
            <w:tcW w:w="5103" w:type="dxa"/>
            <w:tcBorders>
              <w:top w:val="nil"/>
              <w:left w:val="nil"/>
              <w:bottom w:val="nil"/>
              <w:right w:val="nil"/>
            </w:tcBorders>
            <w:vAlign w:val="center"/>
          </w:tcPr>
          <w:p w:rsidR="00BE1FE1" w:rsidRDefault="00BE1FE1" w:rsidP="00BE1FE1">
            <w:pPr>
              <w:widowControl/>
              <w:ind w:firstLineChars="750" w:firstLine="1650"/>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2017</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BE1FE1">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BE1FE1" w:rsidRDefault="00BE1FE1">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BE1FE1" w:rsidRDefault="00BE1FE1">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BE1FE1" w:rsidRDefault="00BE1FE1">
            <w:pPr>
              <w:widowControl/>
              <w:jc w:val="center"/>
              <w:rPr>
                <w:rFonts w:ascii="宋体" w:cs="宋体"/>
                <w:b/>
                <w:bCs/>
                <w:kern w:val="0"/>
                <w:sz w:val="22"/>
              </w:rPr>
            </w:pPr>
            <w:r>
              <w:rPr>
                <w:rFonts w:ascii="宋体" w:hAnsi="宋体" w:cs="宋体" w:hint="eastAsia"/>
                <w:b/>
                <w:bCs/>
                <w:kern w:val="0"/>
                <w:sz w:val="22"/>
              </w:rPr>
              <w:t>价值（金额单位：万元）</w:t>
            </w:r>
          </w:p>
        </w:tc>
      </w:tr>
      <w:tr w:rsidR="00BE1FE1">
        <w:trPr>
          <w:trHeight w:val="543"/>
        </w:trPr>
        <w:tc>
          <w:tcPr>
            <w:tcW w:w="5224" w:type="dxa"/>
            <w:tcBorders>
              <w:top w:val="nil"/>
              <w:left w:val="single" w:sz="4" w:space="0" w:color="auto"/>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cs="宋体"/>
                <w:kern w:val="0"/>
                <w:sz w:val="22"/>
              </w:rPr>
              <w:t>925.93</w:t>
            </w:r>
          </w:p>
        </w:tc>
      </w:tr>
      <w:tr w:rsidR="00BE1FE1">
        <w:trPr>
          <w:trHeight w:val="578"/>
        </w:trPr>
        <w:tc>
          <w:tcPr>
            <w:tcW w:w="5224" w:type="dxa"/>
            <w:tcBorders>
              <w:top w:val="nil"/>
              <w:left w:val="single" w:sz="4" w:space="0" w:color="auto"/>
              <w:bottom w:val="single" w:sz="4" w:space="0" w:color="auto"/>
              <w:right w:val="single" w:sz="4" w:space="0" w:color="auto"/>
            </w:tcBorders>
            <w:vAlign w:val="center"/>
          </w:tcPr>
          <w:p w:rsidR="00BE1FE1" w:rsidRDefault="00BE1FE1">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cs="宋体"/>
                <w:kern w:val="0"/>
                <w:sz w:val="22"/>
              </w:rPr>
              <w:t>4136.6</w:t>
            </w:r>
          </w:p>
        </w:tc>
        <w:tc>
          <w:tcPr>
            <w:tcW w:w="5103"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cs="宋体"/>
                <w:kern w:val="0"/>
                <w:sz w:val="22"/>
              </w:rPr>
              <w:t>827.32</w:t>
            </w:r>
          </w:p>
        </w:tc>
      </w:tr>
      <w:tr w:rsidR="00BE1FE1">
        <w:trPr>
          <w:trHeight w:val="543"/>
        </w:trPr>
        <w:tc>
          <w:tcPr>
            <w:tcW w:w="5224" w:type="dxa"/>
            <w:tcBorders>
              <w:top w:val="nil"/>
              <w:left w:val="single" w:sz="4" w:space="0" w:color="auto"/>
              <w:bottom w:val="single" w:sz="4" w:space="0" w:color="auto"/>
              <w:right w:val="single" w:sz="4" w:space="0" w:color="auto"/>
            </w:tcBorders>
            <w:vAlign w:val="center"/>
          </w:tcPr>
          <w:p w:rsidR="00BE1FE1" w:rsidRDefault="00BE1FE1">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cs="宋体"/>
                <w:kern w:val="0"/>
                <w:sz w:val="22"/>
              </w:rPr>
              <w:t>4136.6</w:t>
            </w:r>
          </w:p>
        </w:tc>
        <w:tc>
          <w:tcPr>
            <w:tcW w:w="5103"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cs="宋体"/>
                <w:kern w:val="0"/>
                <w:sz w:val="22"/>
              </w:rPr>
              <w:t>827.32</w:t>
            </w:r>
          </w:p>
        </w:tc>
      </w:tr>
      <w:tr w:rsidR="00BE1FE1">
        <w:trPr>
          <w:trHeight w:val="566"/>
        </w:trPr>
        <w:tc>
          <w:tcPr>
            <w:tcW w:w="5224" w:type="dxa"/>
            <w:tcBorders>
              <w:top w:val="nil"/>
              <w:left w:val="single" w:sz="4" w:space="0" w:color="auto"/>
              <w:bottom w:val="single" w:sz="4" w:space="0" w:color="auto"/>
              <w:right w:val="single" w:sz="4" w:space="0" w:color="auto"/>
            </w:tcBorders>
            <w:vAlign w:val="center"/>
          </w:tcPr>
          <w:p w:rsidR="00BE1FE1" w:rsidRDefault="00BE1FE1">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cs="宋体"/>
                <w:kern w:val="0"/>
                <w:sz w:val="22"/>
              </w:rPr>
              <w:t>3</w:t>
            </w:r>
          </w:p>
        </w:tc>
        <w:tc>
          <w:tcPr>
            <w:tcW w:w="5103"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cs="宋体"/>
                <w:kern w:val="0"/>
                <w:sz w:val="22"/>
              </w:rPr>
              <w:t>27.56</w:t>
            </w:r>
          </w:p>
        </w:tc>
      </w:tr>
      <w:tr w:rsidR="00BE1FE1">
        <w:trPr>
          <w:trHeight w:val="546"/>
        </w:trPr>
        <w:tc>
          <w:tcPr>
            <w:tcW w:w="5224" w:type="dxa"/>
            <w:tcBorders>
              <w:top w:val="nil"/>
              <w:left w:val="single" w:sz="4" w:space="0" w:color="auto"/>
              <w:bottom w:val="single" w:sz="4" w:space="0" w:color="auto"/>
              <w:right w:val="single" w:sz="4" w:space="0" w:color="auto"/>
            </w:tcBorders>
            <w:vAlign w:val="center"/>
          </w:tcPr>
          <w:p w:rsidR="00BE1FE1" w:rsidRDefault="00BE1FE1">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p>
        </w:tc>
      </w:tr>
      <w:tr w:rsidR="00BE1FE1">
        <w:trPr>
          <w:trHeight w:val="645"/>
        </w:trPr>
        <w:tc>
          <w:tcPr>
            <w:tcW w:w="5224" w:type="dxa"/>
            <w:tcBorders>
              <w:top w:val="nil"/>
              <w:left w:val="single" w:sz="4" w:space="0" w:color="auto"/>
              <w:bottom w:val="single" w:sz="4" w:space="0" w:color="auto"/>
              <w:right w:val="single" w:sz="4" w:space="0" w:color="auto"/>
            </w:tcBorders>
            <w:vAlign w:val="center"/>
          </w:tcPr>
          <w:p w:rsidR="00BE1FE1" w:rsidRDefault="00BE1FE1">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BE1FE1" w:rsidRDefault="00BE1FE1">
            <w:pPr>
              <w:widowControl/>
              <w:jc w:val="center"/>
              <w:rPr>
                <w:rFonts w:ascii="宋体" w:cs="宋体"/>
                <w:kern w:val="0"/>
                <w:sz w:val="22"/>
              </w:rPr>
            </w:pPr>
            <w:r>
              <w:rPr>
                <w:rFonts w:ascii="宋体" w:cs="宋体"/>
                <w:kern w:val="0"/>
                <w:sz w:val="22"/>
              </w:rPr>
              <w:t>71.05</w:t>
            </w:r>
          </w:p>
        </w:tc>
      </w:tr>
    </w:tbl>
    <w:p w:rsidR="00BE1FE1" w:rsidRDefault="00BE1FE1" w:rsidP="00BE1FE1">
      <w:pPr>
        <w:ind w:firstLineChars="200" w:firstLine="640"/>
        <w:rPr>
          <w:rFonts w:ascii="黑体" w:eastAsia="黑体" w:hAnsi="黑体"/>
          <w:sz w:val="32"/>
          <w:szCs w:val="32"/>
        </w:rPr>
      </w:pPr>
      <w:r>
        <w:rPr>
          <w:rFonts w:ascii="黑体" w:eastAsia="黑体" w:hAnsi="黑体" w:hint="eastAsia"/>
          <w:sz w:val="32"/>
          <w:szCs w:val="32"/>
        </w:rPr>
        <w:t>八、名词解释</w:t>
      </w:r>
    </w:p>
    <w:p w:rsidR="00BE1FE1" w:rsidRDefault="00BE1FE1">
      <w:pPr>
        <w:rPr>
          <w:rFonts w:ascii="仿宋_GB2312" w:eastAsia="仿宋_GB2312" w:hAnsi="黑体"/>
          <w:sz w:val="32"/>
          <w:szCs w:val="32"/>
        </w:rPr>
      </w:pPr>
      <w:r>
        <w:rPr>
          <w:rFonts w:ascii="仿宋_GB2312" w:eastAsia="仿宋_GB2312" w:hAnsi="黑体"/>
          <w:sz w:val="32"/>
          <w:szCs w:val="32"/>
        </w:rPr>
        <w:t xml:space="preserve">    1</w:t>
      </w:r>
      <w:r>
        <w:rPr>
          <w:rFonts w:ascii="仿宋_GB2312" w:eastAsia="仿宋_GB2312" w:hAnsi="黑体" w:hint="eastAsia"/>
          <w:sz w:val="32"/>
          <w:szCs w:val="32"/>
        </w:rPr>
        <w:t>、一般公共预算拨款收入：指市级财政当年拨付的资金。</w:t>
      </w:r>
    </w:p>
    <w:p w:rsidR="00BE1FE1" w:rsidRDefault="00BE1FE1">
      <w:pPr>
        <w:rPr>
          <w:rFonts w:ascii="仿宋_GB2312" w:eastAsia="仿宋_GB2312" w:hAnsi="黑体"/>
          <w:sz w:val="32"/>
          <w:szCs w:val="32"/>
        </w:rPr>
      </w:pPr>
      <w:r>
        <w:rPr>
          <w:rFonts w:ascii="仿宋_GB2312" w:eastAsia="仿宋_GB2312" w:hAnsi="黑体"/>
          <w:sz w:val="32"/>
          <w:szCs w:val="32"/>
        </w:rPr>
        <w:lastRenderedPageBreak/>
        <w:t xml:space="preserve">    2</w:t>
      </w:r>
      <w:r>
        <w:rPr>
          <w:rFonts w:ascii="仿宋_GB2312" w:eastAsia="仿宋_GB2312" w:hAnsi="黑体" w:hint="eastAsia"/>
          <w:sz w:val="32"/>
          <w:szCs w:val="32"/>
        </w:rPr>
        <w:t>、事业收入：指事业单位开展专业业务活动及辅助活动所取得的收入。</w:t>
      </w:r>
    </w:p>
    <w:p w:rsidR="00BE1FE1" w:rsidRDefault="00BE1FE1">
      <w:pPr>
        <w:rPr>
          <w:rFonts w:ascii="仿宋_GB2312" w:eastAsia="仿宋_GB2312" w:hAnsi="黑体"/>
          <w:sz w:val="32"/>
          <w:szCs w:val="32"/>
        </w:rPr>
      </w:pPr>
      <w:r>
        <w:rPr>
          <w:rFonts w:ascii="仿宋_GB2312" w:eastAsia="仿宋_GB2312" w:hAnsi="黑体"/>
          <w:sz w:val="32"/>
          <w:szCs w:val="32"/>
        </w:rPr>
        <w:t xml:space="preserve">    3</w:t>
      </w:r>
      <w:r>
        <w:rPr>
          <w:rFonts w:ascii="仿宋_GB2312" w:eastAsia="仿宋_GB2312" w:hAnsi="黑体" w:hint="eastAsia"/>
          <w:sz w:val="32"/>
          <w:szCs w:val="32"/>
        </w:rPr>
        <w:t>、其他收入：指除上述“财政拨款收入”、“事业收入”等以外的收入。主要是按规定动用的租房收入、存款利息收入等。</w:t>
      </w:r>
    </w:p>
    <w:p w:rsidR="00BE1FE1" w:rsidRDefault="00BE1FE1">
      <w:pPr>
        <w:rPr>
          <w:rFonts w:ascii="仿宋_GB2312" w:eastAsia="仿宋_GB2312" w:hAnsi="黑体"/>
          <w:sz w:val="32"/>
          <w:szCs w:val="32"/>
        </w:rPr>
      </w:pPr>
      <w:r>
        <w:rPr>
          <w:rFonts w:ascii="仿宋_GB2312" w:eastAsia="仿宋_GB2312" w:hAnsi="黑体"/>
          <w:sz w:val="32"/>
          <w:szCs w:val="32"/>
        </w:rPr>
        <w:t xml:space="preserve">    4</w:t>
      </w:r>
      <w:r>
        <w:rPr>
          <w:rFonts w:ascii="仿宋_GB2312" w:eastAsia="仿宋_GB2312" w:hAnsi="黑体" w:hint="eastAsia"/>
          <w:sz w:val="32"/>
          <w:szCs w:val="32"/>
        </w:rPr>
        <w:t>、基本支出：指为保障机构正常运转、完成日常工作任务而发生的人员支出和公用支出。</w:t>
      </w:r>
    </w:p>
    <w:p w:rsidR="00BE1FE1" w:rsidRDefault="00BE1FE1">
      <w:pPr>
        <w:rPr>
          <w:rFonts w:ascii="仿宋_GB2312" w:eastAsia="仿宋_GB2312" w:hAnsi="黑体"/>
          <w:sz w:val="32"/>
          <w:szCs w:val="32"/>
        </w:rPr>
      </w:pPr>
      <w:r>
        <w:rPr>
          <w:rFonts w:ascii="仿宋_GB2312" w:eastAsia="仿宋_GB2312" w:hAnsi="黑体"/>
          <w:sz w:val="32"/>
          <w:szCs w:val="32"/>
        </w:rPr>
        <w:t xml:space="preserve">    5</w:t>
      </w:r>
      <w:r>
        <w:rPr>
          <w:rFonts w:ascii="仿宋_GB2312" w:eastAsia="仿宋_GB2312" w:hAnsi="黑体" w:hint="eastAsia"/>
          <w:sz w:val="32"/>
          <w:szCs w:val="32"/>
        </w:rPr>
        <w:t>、项目支出：指在基本支出之外为完成特定行政任务和事业发展目标所发生的支出。</w:t>
      </w:r>
    </w:p>
    <w:p w:rsidR="00BE1FE1" w:rsidRDefault="00BE1FE1">
      <w:pPr>
        <w:rPr>
          <w:rFonts w:ascii="仿宋_GB2312" w:eastAsia="仿宋_GB2312" w:hAnsi="黑体"/>
          <w:sz w:val="32"/>
          <w:szCs w:val="32"/>
        </w:rPr>
      </w:pPr>
      <w:r>
        <w:rPr>
          <w:rFonts w:ascii="仿宋_GB2312" w:eastAsia="仿宋_GB2312" w:hAnsi="黑体"/>
          <w:sz w:val="32"/>
          <w:szCs w:val="32"/>
        </w:rPr>
        <w:t xml:space="preserve">    6</w:t>
      </w:r>
      <w:r>
        <w:rPr>
          <w:rFonts w:ascii="仿宋_GB2312" w:eastAsia="仿宋_GB2312" w:hAnsi="黑体" w:hint="eastAsia"/>
          <w:sz w:val="32"/>
          <w:szCs w:val="32"/>
        </w:rPr>
        <w:t>、上缴上级支出：指下级单位上缴上级的支出。</w:t>
      </w:r>
    </w:p>
    <w:p w:rsidR="00BE1FE1" w:rsidRDefault="00BE1FE1">
      <w:pPr>
        <w:rPr>
          <w:rFonts w:ascii="仿宋_GB2312" w:eastAsia="仿宋_GB2312" w:hAnsi="黑体"/>
          <w:sz w:val="32"/>
          <w:szCs w:val="32"/>
        </w:rPr>
      </w:pPr>
      <w:r>
        <w:rPr>
          <w:rFonts w:ascii="仿宋_GB2312" w:eastAsia="仿宋_GB2312" w:hAnsi="黑体"/>
          <w:sz w:val="32"/>
          <w:szCs w:val="32"/>
        </w:rPr>
        <w:t xml:space="preserve">    7</w:t>
      </w:r>
      <w:r>
        <w:rPr>
          <w:rFonts w:ascii="仿宋_GB2312" w:eastAsia="仿宋_GB2312" w:hAnsi="黑体"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E1FE1" w:rsidRDefault="00BE1FE1">
      <w:pPr>
        <w:rPr>
          <w:rFonts w:ascii="仿宋_GB2312" w:eastAsia="仿宋_GB2312" w:hAnsi="黑体"/>
          <w:sz w:val="32"/>
          <w:szCs w:val="32"/>
        </w:rPr>
      </w:pPr>
      <w:r>
        <w:rPr>
          <w:rFonts w:ascii="仿宋_GB2312" w:eastAsia="仿宋_GB2312" w:hAnsi="黑体"/>
          <w:sz w:val="32"/>
          <w:szCs w:val="32"/>
        </w:rPr>
        <w:t xml:space="preserve">    8</w:t>
      </w:r>
      <w:r>
        <w:rPr>
          <w:rFonts w:ascii="仿宋_GB2312" w:eastAsia="仿宋_GB2312" w:hAnsi="黑体" w:hint="eastAsia"/>
          <w:sz w:val="32"/>
          <w:szCs w:val="32"/>
        </w:rPr>
        <w:t>、机关运行费：为保障行政单位（包括参照公务员法管理的事业单位）运行用于购买货物和服务的各项资金，包括办公及印刷费、邮电费、差旅费、会议费、福利费、日常维修费、专用材料及一</w:t>
      </w:r>
      <w:r>
        <w:rPr>
          <w:rFonts w:ascii="仿宋_GB2312" w:eastAsia="仿宋_GB2312" w:hAnsi="黑体" w:hint="eastAsia"/>
          <w:sz w:val="32"/>
          <w:szCs w:val="32"/>
        </w:rPr>
        <w:lastRenderedPageBreak/>
        <w:t>般设备购置费、办公用房水电费、办公用房取暖费、办公用房物业管理费、公务用车运行维护费以及其他费用。</w:t>
      </w:r>
    </w:p>
    <w:p w:rsidR="00BE1FE1" w:rsidRDefault="00BE1FE1" w:rsidP="005579D5">
      <w:pPr>
        <w:ind w:firstLineChars="200" w:firstLine="640"/>
        <w:rPr>
          <w:rFonts w:ascii="黑体" w:eastAsia="黑体" w:hAnsi="黑体"/>
          <w:sz w:val="32"/>
          <w:szCs w:val="32"/>
        </w:rPr>
      </w:pPr>
      <w:r>
        <w:rPr>
          <w:rFonts w:ascii="黑体" w:eastAsia="黑体" w:hAnsi="黑体" w:hint="eastAsia"/>
          <w:sz w:val="32"/>
          <w:szCs w:val="32"/>
        </w:rPr>
        <w:t>九、其他需要说明的事项</w:t>
      </w:r>
    </w:p>
    <w:p w:rsidR="00BE1FE1" w:rsidRDefault="00BE1FE1">
      <w:pPr>
        <w:ind w:firstLine="640"/>
        <w:rPr>
          <w:rFonts w:ascii="仿宋_GB2312" w:eastAsia="仿宋_GB2312" w:hAnsi="黑体"/>
          <w:sz w:val="32"/>
          <w:szCs w:val="32"/>
        </w:rPr>
      </w:pPr>
      <w:r>
        <w:rPr>
          <w:rFonts w:ascii="仿宋_GB2312" w:eastAsia="仿宋_GB2312" w:hAnsi="黑体" w:hint="eastAsia"/>
          <w:sz w:val="32"/>
          <w:szCs w:val="32"/>
        </w:rPr>
        <w:t>无其他需要说明的事项。</w:t>
      </w:r>
    </w:p>
    <w:sectPr w:rsidR="00BE1FE1" w:rsidSect="00B74445">
      <w:headerReference w:type="default" r:id="rId7"/>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224" w:rsidRDefault="00991224" w:rsidP="00B74445">
      <w:r>
        <w:separator/>
      </w:r>
    </w:p>
  </w:endnote>
  <w:endnote w:type="continuationSeparator" w:id="0">
    <w:p w:rsidR="00991224" w:rsidRDefault="00991224" w:rsidP="00B7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方正书宋_GBK">
    <w:altName w:val="仿宋_GB2312"/>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仿宋_GB2312"/>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E1" w:rsidRDefault="00BE1FE1">
    <w:pPr>
      <w:pStyle w:val="a5"/>
      <w:jc w:val="center"/>
    </w:pPr>
    <w:r>
      <w:rPr>
        <w:sz w:val="28"/>
      </w:rPr>
      <w:fldChar w:fldCharType="begin"/>
    </w:r>
    <w:r>
      <w:rPr>
        <w:sz w:val="28"/>
      </w:rPr>
      <w:instrText>PAGE   \* MERGEFORMAT</w:instrText>
    </w:r>
    <w:r>
      <w:rPr>
        <w:sz w:val="28"/>
      </w:rPr>
      <w:fldChar w:fldCharType="separate"/>
    </w:r>
    <w:r w:rsidRPr="00F525FC">
      <w:rPr>
        <w:noProof/>
        <w:sz w:val="28"/>
        <w:lang w:val="zh-CN"/>
      </w:rPr>
      <w:t>36</w:t>
    </w:r>
    <w:r>
      <w:rPr>
        <w:sz w:val="28"/>
      </w:rPr>
      <w:fldChar w:fldCharType="end"/>
    </w:r>
  </w:p>
  <w:p w:rsidR="00BE1FE1" w:rsidRDefault="00BE1F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224" w:rsidRDefault="00991224" w:rsidP="00B74445">
      <w:r>
        <w:separator/>
      </w:r>
    </w:p>
  </w:footnote>
  <w:footnote w:type="continuationSeparator" w:id="0">
    <w:p w:rsidR="00991224" w:rsidRDefault="00991224" w:rsidP="00B7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E1" w:rsidRDefault="00BE1FE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C72BF7"/>
    <w:multiLevelType w:val="singleLevel"/>
    <w:tmpl w:val="9EC72BF7"/>
    <w:lvl w:ilvl="0">
      <w:start w:val="1"/>
      <w:numFmt w:val="chineseCounting"/>
      <w:suff w:val="nothing"/>
      <w:lvlText w:val="（%1）"/>
      <w:lvlJc w:val="left"/>
      <w:rPr>
        <w:rFonts w:ascii="仿宋_GB2312" w:eastAsia="仿宋_GB2312" w:hAnsi="仿宋"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0E6E"/>
    <w:rsid w:val="001353FD"/>
    <w:rsid w:val="001433DA"/>
    <w:rsid w:val="00152A3B"/>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5626"/>
    <w:rsid w:val="001E61DC"/>
    <w:rsid w:val="001E6E68"/>
    <w:rsid w:val="00204C18"/>
    <w:rsid w:val="00224AB9"/>
    <w:rsid w:val="00225DD0"/>
    <w:rsid w:val="00226AF2"/>
    <w:rsid w:val="00232A2D"/>
    <w:rsid w:val="00236A9E"/>
    <w:rsid w:val="00241FD4"/>
    <w:rsid w:val="00247E02"/>
    <w:rsid w:val="00250623"/>
    <w:rsid w:val="00251B12"/>
    <w:rsid w:val="002543BE"/>
    <w:rsid w:val="00260DBD"/>
    <w:rsid w:val="002645FB"/>
    <w:rsid w:val="00265944"/>
    <w:rsid w:val="00276C68"/>
    <w:rsid w:val="00277483"/>
    <w:rsid w:val="00287688"/>
    <w:rsid w:val="002935FC"/>
    <w:rsid w:val="00296113"/>
    <w:rsid w:val="00296AE7"/>
    <w:rsid w:val="002A215D"/>
    <w:rsid w:val="002A39E7"/>
    <w:rsid w:val="002B41F7"/>
    <w:rsid w:val="002B6ADE"/>
    <w:rsid w:val="002E0A4A"/>
    <w:rsid w:val="002E5A52"/>
    <w:rsid w:val="002F3E58"/>
    <w:rsid w:val="002F5A42"/>
    <w:rsid w:val="002F716D"/>
    <w:rsid w:val="0030542C"/>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7707"/>
    <w:rsid w:val="003E12AC"/>
    <w:rsid w:val="003E1A7F"/>
    <w:rsid w:val="003E1D99"/>
    <w:rsid w:val="003E3075"/>
    <w:rsid w:val="003E52B7"/>
    <w:rsid w:val="003F0D1B"/>
    <w:rsid w:val="003F3B91"/>
    <w:rsid w:val="003F3F99"/>
    <w:rsid w:val="003F41F9"/>
    <w:rsid w:val="00406E23"/>
    <w:rsid w:val="00420E42"/>
    <w:rsid w:val="00421F9B"/>
    <w:rsid w:val="0042393E"/>
    <w:rsid w:val="004333E7"/>
    <w:rsid w:val="00433CB9"/>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7605E"/>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2A27"/>
    <w:rsid w:val="004F560F"/>
    <w:rsid w:val="00501204"/>
    <w:rsid w:val="00503F46"/>
    <w:rsid w:val="0051023F"/>
    <w:rsid w:val="00511C50"/>
    <w:rsid w:val="00523CA3"/>
    <w:rsid w:val="00523D21"/>
    <w:rsid w:val="00524F13"/>
    <w:rsid w:val="00525C56"/>
    <w:rsid w:val="0052680D"/>
    <w:rsid w:val="00526F76"/>
    <w:rsid w:val="005317B2"/>
    <w:rsid w:val="005329EB"/>
    <w:rsid w:val="00533199"/>
    <w:rsid w:val="00534B95"/>
    <w:rsid w:val="00545075"/>
    <w:rsid w:val="005579D5"/>
    <w:rsid w:val="00570878"/>
    <w:rsid w:val="00573562"/>
    <w:rsid w:val="005750B9"/>
    <w:rsid w:val="005848A9"/>
    <w:rsid w:val="00590472"/>
    <w:rsid w:val="00590E1C"/>
    <w:rsid w:val="005A68BF"/>
    <w:rsid w:val="005B343C"/>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4A29"/>
    <w:rsid w:val="00615335"/>
    <w:rsid w:val="00621CD8"/>
    <w:rsid w:val="006238E6"/>
    <w:rsid w:val="00632253"/>
    <w:rsid w:val="006327F1"/>
    <w:rsid w:val="006373F4"/>
    <w:rsid w:val="0064344B"/>
    <w:rsid w:val="00644154"/>
    <w:rsid w:val="00644837"/>
    <w:rsid w:val="00647BC2"/>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2A1C"/>
    <w:rsid w:val="0075393C"/>
    <w:rsid w:val="007722EB"/>
    <w:rsid w:val="00776C08"/>
    <w:rsid w:val="00777E03"/>
    <w:rsid w:val="00793642"/>
    <w:rsid w:val="00793D9F"/>
    <w:rsid w:val="007A3193"/>
    <w:rsid w:val="007A5B7D"/>
    <w:rsid w:val="007B1051"/>
    <w:rsid w:val="007B2DCF"/>
    <w:rsid w:val="007B4EE0"/>
    <w:rsid w:val="007B7089"/>
    <w:rsid w:val="007C2346"/>
    <w:rsid w:val="007C2902"/>
    <w:rsid w:val="007C4F30"/>
    <w:rsid w:val="007D0A59"/>
    <w:rsid w:val="007E1DA8"/>
    <w:rsid w:val="007E2C66"/>
    <w:rsid w:val="007E2EA1"/>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692"/>
    <w:rsid w:val="00883968"/>
    <w:rsid w:val="0088534A"/>
    <w:rsid w:val="00890435"/>
    <w:rsid w:val="00890E54"/>
    <w:rsid w:val="008948AC"/>
    <w:rsid w:val="008A128A"/>
    <w:rsid w:val="008A18F4"/>
    <w:rsid w:val="008A5423"/>
    <w:rsid w:val="008B1A2C"/>
    <w:rsid w:val="008B3CC5"/>
    <w:rsid w:val="008B4435"/>
    <w:rsid w:val="008B6561"/>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798C"/>
    <w:rsid w:val="00991224"/>
    <w:rsid w:val="0099180C"/>
    <w:rsid w:val="00994C35"/>
    <w:rsid w:val="009955F6"/>
    <w:rsid w:val="009A2F5C"/>
    <w:rsid w:val="009A60D8"/>
    <w:rsid w:val="009B077C"/>
    <w:rsid w:val="009B11C8"/>
    <w:rsid w:val="009B2A39"/>
    <w:rsid w:val="009B58A9"/>
    <w:rsid w:val="009C2863"/>
    <w:rsid w:val="009C762E"/>
    <w:rsid w:val="009D439C"/>
    <w:rsid w:val="009E0EEF"/>
    <w:rsid w:val="009E215F"/>
    <w:rsid w:val="009E6D2C"/>
    <w:rsid w:val="009F225E"/>
    <w:rsid w:val="009F7FFC"/>
    <w:rsid w:val="00A003B8"/>
    <w:rsid w:val="00A03100"/>
    <w:rsid w:val="00A1176E"/>
    <w:rsid w:val="00A22398"/>
    <w:rsid w:val="00A4039F"/>
    <w:rsid w:val="00A44217"/>
    <w:rsid w:val="00A44E99"/>
    <w:rsid w:val="00A4589C"/>
    <w:rsid w:val="00A47939"/>
    <w:rsid w:val="00A5225D"/>
    <w:rsid w:val="00A53E17"/>
    <w:rsid w:val="00A5507A"/>
    <w:rsid w:val="00A575A8"/>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0A1F"/>
    <w:rsid w:val="00AA1E38"/>
    <w:rsid w:val="00AA1F69"/>
    <w:rsid w:val="00AA4712"/>
    <w:rsid w:val="00AB1409"/>
    <w:rsid w:val="00AC22CC"/>
    <w:rsid w:val="00AC38EE"/>
    <w:rsid w:val="00AC63B4"/>
    <w:rsid w:val="00AC69D5"/>
    <w:rsid w:val="00AE2346"/>
    <w:rsid w:val="00AE385D"/>
    <w:rsid w:val="00AF2542"/>
    <w:rsid w:val="00B057BD"/>
    <w:rsid w:val="00B1176D"/>
    <w:rsid w:val="00B1235D"/>
    <w:rsid w:val="00B136B8"/>
    <w:rsid w:val="00B17ADA"/>
    <w:rsid w:val="00B20712"/>
    <w:rsid w:val="00B20DA5"/>
    <w:rsid w:val="00B218B0"/>
    <w:rsid w:val="00B22729"/>
    <w:rsid w:val="00B22A6B"/>
    <w:rsid w:val="00B235AA"/>
    <w:rsid w:val="00B2755C"/>
    <w:rsid w:val="00B43238"/>
    <w:rsid w:val="00B63510"/>
    <w:rsid w:val="00B66668"/>
    <w:rsid w:val="00B739CF"/>
    <w:rsid w:val="00B74445"/>
    <w:rsid w:val="00B74DF2"/>
    <w:rsid w:val="00B75216"/>
    <w:rsid w:val="00B80AA4"/>
    <w:rsid w:val="00B91D52"/>
    <w:rsid w:val="00BA1ACD"/>
    <w:rsid w:val="00BA5A11"/>
    <w:rsid w:val="00BC681B"/>
    <w:rsid w:val="00BC7D9A"/>
    <w:rsid w:val="00BD16FC"/>
    <w:rsid w:val="00BD3858"/>
    <w:rsid w:val="00BD390C"/>
    <w:rsid w:val="00BE083B"/>
    <w:rsid w:val="00BE1FE1"/>
    <w:rsid w:val="00BE4858"/>
    <w:rsid w:val="00BF7510"/>
    <w:rsid w:val="00C0018A"/>
    <w:rsid w:val="00C01825"/>
    <w:rsid w:val="00C13373"/>
    <w:rsid w:val="00C209D8"/>
    <w:rsid w:val="00C266EE"/>
    <w:rsid w:val="00C35022"/>
    <w:rsid w:val="00C54643"/>
    <w:rsid w:val="00C549FA"/>
    <w:rsid w:val="00C54CE5"/>
    <w:rsid w:val="00C55CEC"/>
    <w:rsid w:val="00C6404D"/>
    <w:rsid w:val="00C711B8"/>
    <w:rsid w:val="00C8097C"/>
    <w:rsid w:val="00C83464"/>
    <w:rsid w:val="00C87170"/>
    <w:rsid w:val="00C92AC7"/>
    <w:rsid w:val="00C92E09"/>
    <w:rsid w:val="00CA7176"/>
    <w:rsid w:val="00CA7C24"/>
    <w:rsid w:val="00CD0702"/>
    <w:rsid w:val="00CD1590"/>
    <w:rsid w:val="00CD2773"/>
    <w:rsid w:val="00CE0CDC"/>
    <w:rsid w:val="00CE143B"/>
    <w:rsid w:val="00CE2392"/>
    <w:rsid w:val="00CE4FDC"/>
    <w:rsid w:val="00CE6B7C"/>
    <w:rsid w:val="00CF1F56"/>
    <w:rsid w:val="00CF632F"/>
    <w:rsid w:val="00D013EB"/>
    <w:rsid w:val="00D03C5F"/>
    <w:rsid w:val="00D121F0"/>
    <w:rsid w:val="00D15E78"/>
    <w:rsid w:val="00D1772A"/>
    <w:rsid w:val="00D231A7"/>
    <w:rsid w:val="00D234E8"/>
    <w:rsid w:val="00D260D2"/>
    <w:rsid w:val="00D4269E"/>
    <w:rsid w:val="00D45811"/>
    <w:rsid w:val="00D46C97"/>
    <w:rsid w:val="00D47E19"/>
    <w:rsid w:val="00D50C28"/>
    <w:rsid w:val="00D523E9"/>
    <w:rsid w:val="00D528F5"/>
    <w:rsid w:val="00D559AC"/>
    <w:rsid w:val="00D57A83"/>
    <w:rsid w:val="00D63054"/>
    <w:rsid w:val="00D71ECE"/>
    <w:rsid w:val="00D75B58"/>
    <w:rsid w:val="00D876DF"/>
    <w:rsid w:val="00D90D45"/>
    <w:rsid w:val="00D92E03"/>
    <w:rsid w:val="00D92E8B"/>
    <w:rsid w:val="00D931E8"/>
    <w:rsid w:val="00D95ACE"/>
    <w:rsid w:val="00DA0616"/>
    <w:rsid w:val="00DA2890"/>
    <w:rsid w:val="00DB052E"/>
    <w:rsid w:val="00DB7E2F"/>
    <w:rsid w:val="00DC07E6"/>
    <w:rsid w:val="00DC3E2C"/>
    <w:rsid w:val="00DE00B3"/>
    <w:rsid w:val="00DE344C"/>
    <w:rsid w:val="00DF1C11"/>
    <w:rsid w:val="00DF4E2B"/>
    <w:rsid w:val="00DF7E94"/>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729"/>
    <w:rsid w:val="00E85BC1"/>
    <w:rsid w:val="00E87A70"/>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32569"/>
    <w:rsid w:val="00F4147A"/>
    <w:rsid w:val="00F417E3"/>
    <w:rsid w:val="00F4182E"/>
    <w:rsid w:val="00F51920"/>
    <w:rsid w:val="00F525FC"/>
    <w:rsid w:val="00F5306C"/>
    <w:rsid w:val="00F57F4F"/>
    <w:rsid w:val="00F631D6"/>
    <w:rsid w:val="00F645C4"/>
    <w:rsid w:val="00F66032"/>
    <w:rsid w:val="00F6694D"/>
    <w:rsid w:val="00F82AC6"/>
    <w:rsid w:val="00F86D57"/>
    <w:rsid w:val="00F958C2"/>
    <w:rsid w:val="00FA0C96"/>
    <w:rsid w:val="00FA44B3"/>
    <w:rsid w:val="00FA7001"/>
    <w:rsid w:val="00FA71CC"/>
    <w:rsid w:val="00FB64EF"/>
    <w:rsid w:val="00FB7C83"/>
    <w:rsid w:val="00FD52DC"/>
    <w:rsid w:val="00FD596F"/>
    <w:rsid w:val="00FE25D5"/>
    <w:rsid w:val="00FE2A35"/>
    <w:rsid w:val="00FF0EC6"/>
    <w:rsid w:val="00FF3F1E"/>
    <w:rsid w:val="00FF4B95"/>
    <w:rsid w:val="360A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2E7F9"/>
  <w15:docId w15:val="{BB5B77EE-636A-412E-9AE9-092BB568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4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74445"/>
    <w:rPr>
      <w:sz w:val="18"/>
      <w:szCs w:val="18"/>
    </w:rPr>
  </w:style>
  <w:style w:type="character" w:customStyle="1" w:styleId="a4">
    <w:name w:val="批注框文本 字符"/>
    <w:link w:val="a3"/>
    <w:uiPriority w:val="99"/>
    <w:semiHidden/>
    <w:locked/>
    <w:rsid w:val="00B74445"/>
    <w:rPr>
      <w:rFonts w:cs="Times New Roman"/>
      <w:sz w:val="18"/>
      <w:szCs w:val="18"/>
    </w:rPr>
  </w:style>
  <w:style w:type="paragraph" w:styleId="a5">
    <w:name w:val="footer"/>
    <w:basedOn w:val="a"/>
    <w:link w:val="a6"/>
    <w:uiPriority w:val="99"/>
    <w:rsid w:val="00B74445"/>
    <w:pPr>
      <w:tabs>
        <w:tab w:val="center" w:pos="4153"/>
        <w:tab w:val="right" w:pos="8306"/>
      </w:tabs>
      <w:snapToGrid w:val="0"/>
      <w:jc w:val="left"/>
    </w:pPr>
    <w:rPr>
      <w:rFonts w:ascii="Times New Roman" w:hAnsi="Times New Roman"/>
      <w:sz w:val="18"/>
      <w:szCs w:val="18"/>
    </w:rPr>
  </w:style>
  <w:style w:type="character" w:customStyle="1" w:styleId="a6">
    <w:name w:val="页脚 字符"/>
    <w:link w:val="a5"/>
    <w:uiPriority w:val="99"/>
    <w:locked/>
    <w:rsid w:val="00B74445"/>
    <w:rPr>
      <w:rFonts w:ascii="Times New Roman" w:eastAsia="宋体" w:hAnsi="Times New Roman" w:cs="Times New Roman"/>
      <w:sz w:val="18"/>
      <w:szCs w:val="18"/>
    </w:rPr>
  </w:style>
  <w:style w:type="paragraph" w:styleId="a7">
    <w:name w:val="header"/>
    <w:basedOn w:val="a"/>
    <w:link w:val="a8"/>
    <w:uiPriority w:val="99"/>
    <w:rsid w:val="00B7444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8">
    <w:name w:val="页眉 字符"/>
    <w:link w:val="a7"/>
    <w:uiPriority w:val="99"/>
    <w:locked/>
    <w:rsid w:val="00B74445"/>
    <w:rPr>
      <w:rFonts w:ascii="Times New Roman" w:eastAsia="宋体" w:hAnsi="Times New Roman" w:cs="Times New Roman"/>
      <w:sz w:val="18"/>
      <w:szCs w:val="18"/>
    </w:rPr>
  </w:style>
  <w:style w:type="paragraph" w:styleId="TOC1">
    <w:name w:val="toc 1"/>
    <w:basedOn w:val="a"/>
    <w:next w:val="a"/>
    <w:uiPriority w:val="99"/>
    <w:rsid w:val="00B74445"/>
    <w:rPr>
      <w:rFonts w:ascii="Times New Roman" w:hAnsi="Times New Roman"/>
      <w:szCs w:val="24"/>
    </w:rPr>
  </w:style>
  <w:style w:type="paragraph" w:styleId="TOC2">
    <w:name w:val="toc 2"/>
    <w:basedOn w:val="a"/>
    <w:next w:val="a"/>
    <w:uiPriority w:val="99"/>
    <w:rsid w:val="00B74445"/>
    <w:pPr>
      <w:ind w:leftChars="200" w:left="420"/>
    </w:pPr>
    <w:rPr>
      <w:rFonts w:ascii="Times New Roman" w:hAnsi="Times New Roman"/>
      <w:szCs w:val="24"/>
    </w:rPr>
  </w:style>
  <w:style w:type="character" w:styleId="a9">
    <w:name w:val="Hyperlink"/>
    <w:uiPriority w:val="99"/>
    <w:rsid w:val="00B74445"/>
    <w:rPr>
      <w:rFonts w:cs="Times New Roman"/>
      <w:color w:val="0000FF"/>
      <w:u w:val="single"/>
    </w:rPr>
  </w:style>
  <w:style w:type="paragraph" w:customStyle="1" w:styleId="Default">
    <w:name w:val="Default"/>
    <w:uiPriority w:val="99"/>
    <w:rsid w:val="00B74445"/>
    <w:pPr>
      <w:widowControl w:val="0"/>
      <w:autoSpaceDE w:val="0"/>
      <w:autoSpaceDN w:val="0"/>
      <w:adjustRightInd w:val="0"/>
    </w:pPr>
    <w:rPr>
      <w:rFonts w:ascii="Times New Roman" w:hAnsi="Times New Roman"/>
      <w:color w:val="000000"/>
      <w:sz w:val="24"/>
      <w:szCs w:val="24"/>
    </w:rPr>
  </w:style>
  <w:style w:type="paragraph" w:customStyle="1" w:styleId="Char">
    <w:name w:val="Char"/>
    <w:basedOn w:val="a"/>
    <w:uiPriority w:val="99"/>
    <w:rsid w:val="00B74445"/>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36</Pages>
  <Words>3164</Words>
  <Characters>18041</Characters>
  <Application>Microsoft Office Word</Application>
  <DocSecurity>0</DocSecurity>
  <Lines>150</Lines>
  <Paragraphs>42</Paragraphs>
  <ScaleCrop>false</ScaleCrop>
  <Company>Microsoft</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Administrator</cp:lastModifiedBy>
  <cp:revision>1366</cp:revision>
  <cp:lastPrinted>2018-02-28T01:51:00Z</cp:lastPrinted>
  <dcterms:created xsi:type="dcterms:W3CDTF">2017-10-26T06:45:00Z</dcterms:created>
  <dcterms:modified xsi:type="dcterms:W3CDTF">2019-01-20T03:54:00Z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